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3F0D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黑体" w:hAnsi="黑体" w:eastAsia="黑体" w:cs="黑体"/>
          <w:b w:val="0"/>
          <w:bCs w:val="0"/>
          <w:i w:val="0"/>
          <w:iCs w:val="0"/>
          <w:caps w:val="0"/>
          <w:color w:val="000000"/>
          <w:spacing w:val="0"/>
          <w:kern w:val="0"/>
          <w:sz w:val="32"/>
          <w:szCs w:val="32"/>
          <w:shd w:val="clear" w:fill="FFFFFF"/>
          <w:lang w:val="en-US" w:eastAsia="zh-CN" w:bidi="ar"/>
        </w:rPr>
      </w:pPr>
      <w:r>
        <w:rPr>
          <w:rFonts w:hint="eastAsia" w:ascii="黑体" w:hAnsi="黑体" w:eastAsia="黑体" w:cs="黑体"/>
          <w:b w:val="0"/>
          <w:bCs w:val="0"/>
          <w:i w:val="0"/>
          <w:iCs w:val="0"/>
          <w:caps w:val="0"/>
          <w:color w:val="000000"/>
          <w:spacing w:val="0"/>
          <w:kern w:val="0"/>
          <w:sz w:val="32"/>
          <w:szCs w:val="32"/>
          <w:shd w:val="clear" w:fill="FFFFFF"/>
          <w:lang w:val="en-US" w:eastAsia="zh-CN" w:bidi="ar"/>
        </w:rPr>
        <w:t>附件2</w:t>
      </w:r>
    </w:p>
    <w:p w14:paraId="4E3A9363">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0"/>
          <w:kern w:val="0"/>
          <w:sz w:val="36"/>
          <w:szCs w:val="36"/>
          <w:shd w:val="clear" w:fill="FFFFFF"/>
          <w:lang w:val="en-US" w:eastAsia="zh-CN" w:bidi="ar"/>
        </w:rPr>
      </w:pPr>
    </w:p>
    <w:p w14:paraId="5CE90F14">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spacing w:val="-6"/>
          <w:kern w:val="0"/>
          <w:sz w:val="44"/>
          <w:szCs w:val="44"/>
          <w:shd w:val="clear" w:color="auto" w:fill="auto"/>
          <w:lang w:val="en-US" w:eastAsia="zh-CN" w:bidi="ar"/>
        </w:rPr>
      </w:pPr>
      <w:r>
        <w:rPr>
          <w:rFonts w:hint="eastAsia" w:ascii="方正小标宋简体" w:hAnsi="方正小标宋简体" w:eastAsia="方正小标宋简体" w:cs="方正小标宋简体"/>
          <w:i w:val="0"/>
          <w:iCs w:val="0"/>
          <w:caps w:val="0"/>
          <w:color w:val="000000"/>
          <w:spacing w:val="-6"/>
          <w:kern w:val="0"/>
          <w:sz w:val="44"/>
          <w:szCs w:val="44"/>
          <w:shd w:val="clear" w:color="auto" w:fill="auto"/>
          <w:lang w:val="en-US" w:eastAsia="zh-CN" w:bidi="ar"/>
        </w:rPr>
        <w:t>泉州师范学院2026年实验室安全技能大赛方案</w:t>
      </w:r>
      <w:bookmarkStart w:id="3" w:name="_GoBack"/>
      <w:bookmarkEnd w:id="3"/>
    </w:p>
    <w:p w14:paraId="21590297">
      <w:pPr>
        <w:keepNext w:val="0"/>
        <w:keepLines w:val="0"/>
        <w:pageBreakBefore w:val="0"/>
        <w:widowControl/>
        <w:suppressLineNumbers w:val="0"/>
        <w:kinsoku/>
        <w:wordWrap/>
        <w:overflowPunct/>
        <w:topLinePunct w:val="0"/>
        <w:bidi w:val="0"/>
        <w:snapToGrid/>
        <w:spacing w:line="520" w:lineRule="exact"/>
        <w:ind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lang w:val="en-US" w:eastAsia="zh-CN" w:bidi="ar"/>
        </w:rPr>
      </w:pPr>
    </w:p>
    <w:p w14:paraId="55AC3999">
      <w:pPr>
        <w:keepNext w:val="0"/>
        <w:keepLines w:val="0"/>
        <w:pageBreakBefore w:val="0"/>
        <w:widowControl/>
        <w:suppressLineNumbers w:val="0"/>
        <w:kinsoku/>
        <w:wordWrap/>
        <w:overflowPunct/>
        <w:topLinePunct w:val="0"/>
        <w:bidi w:val="0"/>
        <w:snapToGrid/>
        <w:spacing w:line="5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kern w:val="0"/>
          <w:sz w:val="32"/>
          <w:szCs w:val="32"/>
          <w:lang w:val="en-US" w:eastAsia="zh-CN" w:bidi="ar"/>
        </w:rPr>
        <w:t>为深入贯彻落实教育部、省教育厅关于高校实验室安全管理工作部署，</w:t>
      </w:r>
      <w:r>
        <w:rPr>
          <w:rFonts w:hint="eastAsia" w:ascii="仿宋_GB2312" w:hAnsi="仿宋_GB2312" w:eastAsia="仿宋_GB2312" w:cs="仿宋_GB2312"/>
          <w:color w:val="000000"/>
          <w:kern w:val="0"/>
          <w:sz w:val="32"/>
          <w:szCs w:val="32"/>
          <w:lang w:val="en-US" w:eastAsia="zh-CN" w:bidi="ar"/>
        </w:rPr>
        <w:t>全面提升学校师生安全意识，增强师生安全隐患排查和整治能力，结合学校“第六届实验室安全文化月活动”工作安排，现组织开展泉州师范学院2026年实验室安全技能大赛，具体方案通知如下：</w:t>
      </w:r>
    </w:p>
    <w:p w14:paraId="6383A9F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b w:val="0"/>
          <w:bCs w:val="0"/>
          <w:i w:val="0"/>
          <w:iCs w:val="0"/>
          <w:caps w:val="0"/>
          <w:color w:val="000000"/>
          <w:spacing w:val="0"/>
          <w:kern w:val="0"/>
          <w:sz w:val="32"/>
          <w:szCs w:val="32"/>
          <w:shd w:val="clear" w:fill="FFFFFF"/>
          <w:lang w:val="en-US" w:eastAsia="zh-CN" w:bidi="ar"/>
        </w:rPr>
      </w:pPr>
      <w:r>
        <w:rPr>
          <w:rFonts w:hint="eastAsia" w:ascii="黑体" w:hAnsi="黑体" w:eastAsia="黑体" w:cs="黑体"/>
          <w:b w:val="0"/>
          <w:bCs w:val="0"/>
          <w:i w:val="0"/>
          <w:iCs w:val="0"/>
          <w:caps w:val="0"/>
          <w:color w:val="000000"/>
          <w:spacing w:val="0"/>
          <w:kern w:val="0"/>
          <w:sz w:val="32"/>
          <w:szCs w:val="32"/>
          <w:shd w:val="clear" w:fill="FFFFFF"/>
          <w:lang w:val="en-US" w:eastAsia="zh-CN" w:bidi="ar"/>
        </w:rPr>
        <w:t>一、大赛主题</w:t>
      </w:r>
    </w:p>
    <w:p w14:paraId="46054FCB">
      <w:pPr>
        <w:keepNext w:val="0"/>
        <w:keepLines w:val="0"/>
        <w:pageBreakBefore w:val="0"/>
        <w:widowControl/>
        <w:suppressLineNumbers w:val="0"/>
        <w:kinsoku/>
        <w:wordWrap/>
        <w:overflowPunct/>
        <w:topLinePunct w:val="0"/>
        <w:bidi w:val="0"/>
        <w:snapToGrid/>
        <w:spacing w:line="520" w:lineRule="exact"/>
        <w:ind w:firstLine="640" w:firstLineChars="200"/>
        <w:jc w:val="left"/>
        <w:textAlignment w:val="auto"/>
        <w:rPr>
          <w:rFonts w:hint="eastAsia" w:ascii="仿宋_GB2312" w:hAnsi="仿宋_GB2312" w:eastAsia="仿宋_GB2312" w:cs="仿宋_GB2312"/>
          <w:i w:val="0"/>
          <w:iCs w:val="0"/>
          <w:caps w:val="0"/>
          <w:color w:val="auto"/>
          <w:spacing w:val="0"/>
          <w:kern w:val="0"/>
          <w:sz w:val="32"/>
          <w:szCs w:val="32"/>
          <w:highlight w:val="none"/>
          <w:lang w:val="en-US" w:eastAsia="zh-CN" w:bidi="ar"/>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人人讲安全除隐患，个个会应急守底线</w:t>
      </w:r>
    </w:p>
    <w:p w14:paraId="15F3D1D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二、时间和地点</w:t>
      </w:r>
    </w:p>
    <w:p w14:paraId="4A93D0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时间：2026年11月</w:t>
      </w: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12</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日14:30</w:t>
      </w:r>
    </w:p>
    <w:p w14:paraId="4C8CB9A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地点：黄若虹实验楼3楼</w:t>
      </w:r>
    </w:p>
    <w:p w14:paraId="6288B3A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三、大赛形式</w:t>
      </w:r>
    </w:p>
    <w:p w14:paraId="5A1118D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实验室安全技能大赛面向教师、实验技术人员及所有在校本科生，设置涉化类、非涉化类两个赛道。大赛包括理论考核与实操考核两个部分，旨在考察参赛师生的实验安全知识和隐患识别技能。</w:t>
      </w:r>
    </w:p>
    <w:p w14:paraId="79E5A7F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四、参赛要求</w:t>
      </w:r>
    </w:p>
    <w:p w14:paraId="03EDDA85">
      <w:pPr>
        <w:pStyle w:val="10"/>
        <w:keepNext w:val="0"/>
        <w:keepLines w:val="0"/>
        <w:pageBreakBefore w:val="0"/>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本次比赛分为涉化类、非涉化类两个赛道。</w:t>
      </w:r>
    </w:p>
    <w:p w14:paraId="502C56CF">
      <w:pPr>
        <w:pStyle w:val="10"/>
        <w:keepNext w:val="0"/>
        <w:keepLines w:val="0"/>
        <w:pageBreakBefore w:val="0"/>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涉化类</w:t>
      </w:r>
      <w:r>
        <w:rPr>
          <w:rFonts w:hint="eastAsia" w:ascii="仿宋_GB2312" w:hAnsi="仿宋_GB2312" w:eastAsia="仿宋_GB2312" w:cs="仿宋_GB2312"/>
          <w:color w:val="auto"/>
          <w:kern w:val="2"/>
          <w:sz w:val="32"/>
          <w:szCs w:val="32"/>
          <w:lang w:eastAsia="zh-CN"/>
        </w:rPr>
        <w:t>参赛院（系）</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资源与环境科学学院、化工与材料学院</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海洋与食品学院</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纺织与服装学院</w:t>
      </w:r>
      <w:r>
        <w:rPr>
          <w:rFonts w:hint="eastAsia" w:ascii="仿宋_GB2312" w:hAnsi="仿宋_GB2312" w:eastAsia="仿宋_GB2312" w:cs="仿宋_GB2312"/>
          <w:color w:val="auto"/>
          <w:kern w:val="2"/>
          <w:sz w:val="32"/>
          <w:szCs w:val="32"/>
        </w:rPr>
        <w:t>，共</w:t>
      </w:r>
      <w:r>
        <w:rPr>
          <w:rFonts w:hint="eastAsia" w:ascii="仿宋_GB2312" w:hAnsi="仿宋_GB2312" w:eastAsia="仿宋_GB2312" w:cs="仿宋_GB2312"/>
          <w:color w:val="auto"/>
          <w:kern w:val="2"/>
          <w:sz w:val="32"/>
          <w:szCs w:val="32"/>
          <w:lang w:val="en-US" w:eastAsia="zh-CN"/>
        </w:rPr>
        <w:t>4</w:t>
      </w:r>
      <w:r>
        <w:rPr>
          <w:rFonts w:hint="eastAsia" w:ascii="仿宋_GB2312" w:hAnsi="仿宋_GB2312" w:eastAsia="仿宋_GB2312" w:cs="仿宋_GB2312"/>
          <w:color w:val="auto"/>
          <w:kern w:val="2"/>
          <w:sz w:val="32"/>
          <w:szCs w:val="32"/>
        </w:rPr>
        <w:t>个学院。</w:t>
      </w:r>
    </w:p>
    <w:p w14:paraId="036974C5">
      <w:pPr>
        <w:pStyle w:val="4"/>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非涉化类</w:t>
      </w:r>
      <w:r>
        <w:rPr>
          <w:rFonts w:hint="eastAsia" w:ascii="仿宋_GB2312" w:hAnsi="仿宋_GB2312" w:eastAsia="仿宋_GB2312" w:cs="仿宋_GB2312"/>
          <w:color w:val="auto"/>
          <w:kern w:val="2"/>
          <w:sz w:val="32"/>
          <w:szCs w:val="32"/>
          <w:lang w:eastAsia="zh-CN"/>
        </w:rPr>
        <w:t>参赛院（系）</w:t>
      </w:r>
      <w:r>
        <w:rPr>
          <w:rFonts w:hint="eastAsia" w:ascii="仿宋_GB2312" w:hAnsi="仿宋_GB2312" w:eastAsia="仿宋_GB2312" w:cs="仿宋_GB2312"/>
          <w:kern w:val="2"/>
          <w:sz w:val="32"/>
          <w:szCs w:val="32"/>
          <w:lang w:eastAsia="zh-CN"/>
        </w:rPr>
        <w:t>：文学与传播学院、陈守仁商学院、物理与信息工程学院、数学与计算机科学学院、外国语学院、教育科学学院、音乐与舞蹈学院、美术与设计学院、体育学院、交通与航海学院、光电工程系、南安学院，共12个学院（系）。</w:t>
      </w:r>
    </w:p>
    <w:p w14:paraId="006C485A">
      <w:pPr>
        <w:pStyle w:val="4"/>
        <w:keepNext w:val="0"/>
        <w:keepLines w:val="0"/>
        <w:pageBreakBefore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各学院（系）按所属赛道派队伍参赛，</w:t>
      </w:r>
      <w:r>
        <w:rPr>
          <w:rFonts w:hint="eastAsia" w:ascii="仿宋_GB2312" w:hAnsi="仿宋_GB2312" w:eastAsia="仿宋_GB2312" w:cs="仿宋_GB2312"/>
          <w:spacing w:val="-18"/>
          <w:sz w:val="32"/>
          <w:szCs w:val="32"/>
          <w:lang w:eastAsia="zh-CN"/>
        </w:rPr>
        <w:t>其中涉化类参赛院（系）</w:t>
      </w:r>
      <w:r>
        <w:rPr>
          <w:rFonts w:hint="eastAsia" w:ascii="仿宋_GB2312" w:hAnsi="仿宋_GB2312" w:eastAsia="仿宋_GB2312" w:cs="仿宋_GB2312"/>
          <w:sz w:val="32"/>
          <w:szCs w:val="32"/>
          <w:lang w:eastAsia="zh-CN"/>
        </w:rPr>
        <w:t>教师和学生</w:t>
      </w:r>
      <w:r>
        <w:rPr>
          <w:rFonts w:hint="eastAsia" w:ascii="仿宋_GB2312" w:hAnsi="仿宋_GB2312" w:eastAsia="仿宋_GB2312" w:cs="仿宋_GB2312"/>
          <w:sz w:val="32"/>
          <w:szCs w:val="32"/>
          <w:lang w:val="en-US" w:eastAsia="zh-CN"/>
        </w:rPr>
        <w:t>组各</w:t>
      </w:r>
      <w:r>
        <w:rPr>
          <w:rFonts w:hint="eastAsia" w:ascii="仿宋_GB2312" w:hAnsi="仿宋_GB2312" w:eastAsia="仿宋_GB2312" w:cs="仿宋_GB2312"/>
          <w:spacing w:val="-18"/>
          <w:sz w:val="32"/>
          <w:szCs w:val="32"/>
          <w:lang w:eastAsia="zh-CN"/>
        </w:rPr>
        <w:t>限报</w:t>
      </w:r>
      <w:r>
        <w:rPr>
          <w:rFonts w:hint="eastAsia" w:ascii="仿宋_GB2312" w:hAnsi="仿宋_GB2312" w:eastAsia="仿宋_GB2312" w:cs="仿宋_GB2312"/>
          <w:spacing w:val="-18"/>
          <w:sz w:val="32"/>
          <w:szCs w:val="32"/>
          <w:lang w:val="en-US" w:eastAsia="zh-CN"/>
        </w:rPr>
        <w:t>2组、非</w:t>
      </w:r>
      <w:r>
        <w:rPr>
          <w:rFonts w:hint="eastAsia" w:ascii="仿宋_GB2312" w:hAnsi="仿宋_GB2312" w:eastAsia="仿宋_GB2312" w:cs="仿宋_GB2312"/>
          <w:spacing w:val="-18"/>
          <w:sz w:val="32"/>
          <w:szCs w:val="32"/>
          <w:lang w:eastAsia="zh-CN"/>
        </w:rPr>
        <w:t>涉化类参赛院（系）</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pacing w:val="-18"/>
          <w:sz w:val="32"/>
          <w:szCs w:val="32"/>
          <w:lang w:eastAsia="zh-CN"/>
        </w:rPr>
        <w:t>限报</w:t>
      </w:r>
      <w:r>
        <w:rPr>
          <w:rFonts w:hint="eastAsia" w:ascii="仿宋_GB2312" w:hAnsi="仿宋_GB2312" w:eastAsia="仿宋_GB2312" w:cs="仿宋_GB2312"/>
          <w:spacing w:val="-18"/>
          <w:sz w:val="32"/>
          <w:szCs w:val="32"/>
          <w:lang w:val="en-US" w:eastAsia="zh-CN"/>
        </w:rPr>
        <w:t>1组，</w:t>
      </w:r>
      <w:r>
        <w:rPr>
          <w:rFonts w:hint="eastAsia" w:ascii="仿宋_GB2312" w:hAnsi="仿宋_GB2312" w:eastAsia="仿宋_GB2312" w:cs="仿宋_GB2312"/>
          <w:sz w:val="32"/>
          <w:szCs w:val="32"/>
          <w:lang w:eastAsia="zh-CN"/>
        </w:rPr>
        <w:t>教师和学生</w:t>
      </w:r>
      <w:r>
        <w:rPr>
          <w:rFonts w:hint="eastAsia" w:ascii="仿宋_GB2312" w:hAnsi="仿宋_GB2312" w:eastAsia="仿宋_GB2312" w:cs="仿宋_GB2312"/>
          <w:sz w:val="32"/>
          <w:szCs w:val="32"/>
          <w:lang w:val="en-US" w:eastAsia="zh-CN"/>
        </w:rPr>
        <w:t>组</w:t>
      </w:r>
      <w:r>
        <w:rPr>
          <w:rFonts w:hint="eastAsia" w:ascii="仿宋_GB2312" w:hAnsi="仿宋_GB2312" w:eastAsia="仿宋_GB2312" w:cs="仿宋_GB2312"/>
          <w:sz w:val="32"/>
          <w:szCs w:val="32"/>
          <w:lang w:eastAsia="zh-CN"/>
        </w:rPr>
        <w:t>每组2</w:t>
      </w:r>
      <w:r>
        <w:rPr>
          <w:rFonts w:hint="eastAsia" w:ascii="仿宋_GB2312" w:hAnsi="仿宋_GB2312" w:eastAsia="仿宋_GB2312" w:cs="仿宋_GB2312"/>
          <w:spacing w:val="-18"/>
          <w:sz w:val="32"/>
          <w:szCs w:val="32"/>
          <w:lang w:eastAsia="zh-CN"/>
        </w:rPr>
        <w:t>名成员。另外，请各学院（系）</w:t>
      </w:r>
      <w:r>
        <w:rPr>
          <w:rFonts w:hint="eastAsia" w:ascii="仿宋_GB2312" w:hAnsi="仿宋_GB2312" w:eastAsia="仿宋_GB2312" w:cs="仿宋_GB2312"/>
          <w:sz w:val="32"/>
          <w:szCs w:val="32"/>
          <w:lang w:eastAsia="zh-CN"/>
        </w:rPr>
        <w:t>安排1名领队，建议由具有实验室安全管理工作经验的教职工担任，领队亦可作为教师组成员参加比赛。</w:t>
      </w:r>
    </w:p>
    <w:p w14:paraId="57E6B51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五、成绩评判</w:t>
      </w:r>
    </w:p>
    <w:p w14:paraId="48C60F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jc w:val="left"/>
        <w:textAlignment w:val="auto"/>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pPr>
      <w:r>
        <w:rPr>
          <w:rFonts w:hint="eastAsia" w:ascii="楷体" w:hAnsi="楷体" w:eastAsia="楷体" w:cs="楷体"/>
          <w:i w:val="0"/>
          <w:iCs w:val="0"/>
          <w:caps w:val="0"/>
          <w:color w:val="000000"/>
          <w:spacing w:val="0"/>
          <w:kern w:val="0"/>
          <w:sz w:val="32"/>
          <w:szCs w:val="32"/>
          <w:shd w:val="clear" w:fill="FFFFFF"/>
          <w:lang w:val="en-US" w:eastAsia="zh-CN" w:bidi="ar"/>
        </w:rPr>
        <w:t>1.理论考核：</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使用手机端小程序在线进行，试卷共设置100道题目，题型包括单选题、多选题、判断题。每题计1分，满分100分，答题限定时间为20分钟。选手须在限定时间内完成并提交试卷，超时自动提交。试卷分涉化类、非涉化类两种类型，所有试卷均随机生成，系统题库中随机抽题，每人仅1次答题机会。</w:t>
      </w: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涉化类和非涉化类同时进行考试。非涉化类试题内容涉及实验室安全标准规范、实验室安全规章制度、常规安全（场地、用水、用电）、消防安全等。涉化类试题内容在非涉化类基础上增加化学安全知识要点。</w:t>
      </w:r>
    </w:p>
    <w:p w14:paraId="2A86660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小程序自动统计得分（按准确率转换为百分制），最终理论考核成绩取小组成员平均分（成绩保留小数点后2位）。</w:t>
      </w:r>
    </w:p>
    <w:p w14:paraId="712A0E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楷体" w:hAnsi="楷体" w:eastAsia="楷体" w:cs="楷体"/>
          <w:i w:val="0"/>
          <w:iCs w:val="0"/>
          <w:caps w:val="0"/>
          <w:color w:val="000000"/>
          <w:spacing w:val="0"/>
          <w:kern w:val="0"/>
          <w:sz w:val="32"/>
          <w:szCs w:val="32"/>
          <w:shd w:val="clear" w:fill="FFFFFF"/>
          <w:lang w:val="en-US" w:eastAsia="zh-CN" w:bidi="ar"/>
        </w:rPr>
        <w:t>2.实操考核：</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分涉化类和非涉化类两类实验室，主办单位依据教育部《高等学校实验室安全检查项目表（2026）》提前布设隐患点。</w:t>
      </w: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两组赛场各模拟10个安全隐患点，每个隐患点满分10分，标准答案以外的隐患点，由评委酌情给分，至多不超过5个隐患点。参赛人员需在10分钟内查找安全隐患点，通过“实验室安全检查系统”手机端，拍照上传、描述问题、提出整改建议，其中，隐患拍摄3分、问题描述3分、整改建议4分。</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以小组为单位，通过小程序进行填报，参赛队伍需在规定时间内完成考核，每小组仅允许1人进行登记与最终上报，需事先确认登记人员。</w:t>
      </w:r>
    </w:p>
    <w:p w14:paraId="7D226E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学校邀请第三方综合评审确定小组成绩，10个隐患点，每个隐患点10分，满分100分</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w:t>
      </w:r>
    </w:p>
    <w:p w14:paraId="15E224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 w:hAnsi="楷体" w:eastAsia="楷体" w:cs="楷体"/>
          <w:i w:val="0"/>
          <w:iCs w:val="0"/>
          <w:caps w:val="0"/>
          <w:color w:val="000000"/>
          <w:spacing w:val="0"/>
          <w:kern w:val="0"/>
          <w:sz w:val="32"/>
          <w:szCs w:val="32"/>
          <w:shd w:val="clear" w:fill="FFFFFF"/>
          <w:lang w:val="en-US" w:eastAsia="zh-CN" w:bidi="ar"/>
        </w:rPr>
        <w:t>3.成绩评审：</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总成绩（100分）=理论考核（40%）+实操考核（60%）。本次大赛教师组和学生组各自按照总成绩从高到低依次排序，若小组总成绩相同，以实操考核分数高的小组名次靠前。</w:t>
      </w:r>
    </w:p>
    <w:p w14:paraId="1516C3E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六、奖项设置</w:t>
      </w:r>
    </w:p>
    <w:p w14:paraId="47D2A09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本次大赛每个赛道按照教师组、学生组分别设置：一等奖1组、二等奖2组、三等奖3组和优秀奖若干，</w:t>
      </w:r>
      <w:r>
        <w:rPr>
          <w:rFonts w:hint="eastAsia" w:ascii="仿宋_GB2312" w:hAnsi="仿宋_GB2312" w:eastAsia="仿宋_GB2312" w:cs="仿宋_GB2312"/>
          <w:color w:val="000000"/>
          <w:sz w:val="32"/>
          <w:szCs w:val="32"/>
          <w:shd w:val="clear" w:color="auto" w:fill="FFFFFF"/>
        </w:rPr>
        <w:t>对获奖者颁发</w:t>
      </w:r>
      <w:r>
        <w:rPr>
          <w:rFonts w:hint="eastAsia" w:ascii="仿宋_GB2312" w:hAnsi="仿宋_GB2312" w:eastAsia="仿宋_GB2312" w:cs="仿宋_GB2312"/>
          <w:color w:val="000000"/>
          <w:sz w:val="32"/>
          <w:szCs w:val="32"/>
          <w:shd w:val="clear" w:color="auto" w:fill="FFFFFF"/>
          <w:lang w:eastAsia="zh-CN"/>
        </w:rPr>
        <w:t>荣誉</w:t>
      </w:r>
      <w:r>
        <w:rPr>
          <w:rFonts w:hint="eastAsia" w:ascii="仿宋_GB2312" w:hAnsi="仿宋_GB2312" w:eastAsia="仿宋_GB2312" w:cs="仿宋_GB2312"/>
          <w:color w:val="000000"/>
          <w:sz w:val="32"/>
          <w:szCs w:val="32"/>
          <w:shd w:val="clear" w:color="auto" w:fill="FFFFFF"/>
        </w:rPr>
        <w:t>证书</w:t>
      </w:r>
      <w:r>
        <w:rPr>
          <w:rFonts w:hint="eastAsia" w:ascii="仿宋_GB2312" w:hAnsi="仿宋_GB2312" w:eastAsia="仿宋_GB2312" w:cs="仿宋_GB2312"/>
          <w:color w:val="000000"/>
          <w:sz w:val="32"/>
          <w:szCs w:val="32"/>
          <w:shd w:val="clear" w:color="auto" w:fill="FFFFFF"/>
          <w:lang w:eastAsia="zh-CN"/>
        </w:rPr>
        <w:t>和</w:t>
      </w:r>
      <w:r>
        <w:rPr>
          <w:rFonts w:hint="eastAsia" w:ascii="仿宋_GB2312" w:hAnsi="仿宋_GB2312" w:eastAsia="仿宋_GB2312" w:cs="仿宋_GB2312"/>
          <w:color w:val="000000"/>
          <w:sz w:val="32"/>
          <w:szCs w:val="32"/>
          <w:shd w:val="clear" w:color="auto" w:fill="FFFFFF"/>
        </w:rPr>
        <w:t>奖品</w:t>
      </w:r>
      <w:r>
        <w:rPr>
          <w:rFonts w:hint="eastAsia" w:ascii="仿宋_GB2312" w:hAnsi="仿宋_GB2312" w:eastAsia="仿宋_GB2312" w:cs="仿宋_GB2312"/>
          <w:color w:val="000000"/>
          <w:sz w:val="32"/>
          <w:szCs w:val="32"/>
          <w:shd w:val="clear" w:color="auto" w:fill="FFFFFF"/>
          <w:lang w:eastAsia="zh-CN"/>
        </w:rPr>
        <w:t>。</w:t>
      </w:r>
    </w:p>
    <w:p w14:paraId="2284126B">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Chars="300" w:right="0" w:rightChars="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其他说明</w:t>
      </w:r>
    </w:p>
    <w:p w14:paraId="07481709">
      <w:pPr>
        <w:pStyle w:val="4"/>
        <w:keepNext w:val="0"/>
        <w:keepLines w:val="0"/>
        <w:pageBreakBefore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cs="仿宋_GB2312"/>
          <w:i w:val="0"/>
          <w:iCs w:val="0"/>
          <w:caps w:val="0"/>
          <w:color w:val="000000"/>
          <w:spacing w:val="0"/>
          <w:kern w:val="0"/>
          <w:sz w:val="32"/>
          <w:szCs w:val="32"/>
          <w:shd w:val="clear" w:fill="FFFFFF"/>
          <w:lang w:val="en-US" w:eastAsia="zh-CN" w:bidi="ar"/>
        </w:rPr>
        <w:t>1.</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请各参赛单位领队组织参赛人员于2026年10月30日前扫描下方二维码加入参赛群，</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lang w:val="en-US" w:eastAsia="zh-CN"/>
        </w:rPr>
        <w:t>在线填写参赛人员信息，</w:t>
      </w: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比赛环节具体安排将通过微信群另行通知。</w:t>
      </w:r>
    </w:p>
    <w:p w14:paraId="63B0F043">
      <w:pPr>
        <w:pStyle w:val="4"/>
        <w:keepNext w:val="0"/>
        <w:keepLines w:val="0"/>
        <w:pageBreakBefore w:val="0"/>
        <w:numPr>
          <w:ilvl w:val="0"/>
          <w:numId w:val="0"/>
        </w:numPr>
        <w:kinsoku/>
        <w:wordWrap/>
        <w:overflowPunct/>
        <w:topLinePunct w:val="0"/>
        <w:bidi w:val="0"/>
        <w:snapToGrid/>
        <w:spacing w:line="520" w:lineRule="exac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drawing>
          <wp:anchor distT="0" distB="0" distL="114300" distR="114300" simplePos="0" relativeHeight="251660288" behindDoc="0" locked="0" layoutInCell="1" allowOverlap="1">
            <wp:simplePos x="0" y="0"/>
            <wp:positionH relativeFrom="column">
              <wp:posOffset>1028700</wp:posOffset>
            </wp:positionH>
            <wp:positionV relativeFrom="paragraph">
              <wp:posOffset>146050</wp:posOffset>
            </wp:positionV>
            <wp:extent cx="2506345" cy="2506345"/>
            <wp:effectExtent l="0" t="0" r="8255" b="8255"/>
            <wp:wrapNone/>
            <wp:docPr id="1" name="图片 1" descr="848a45cd555e6861c71a5c55f3ac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48a45cd555e6861c71a5c55f3ac0378"/>
                    <pic:cNvPicPr>
                      <a:picLocks noChangeAspect="1"/>
                    </pic:cNvPicPr>
                  </pic:nvPicPr>
                  <pic:blipFill>
                    <a:blip r:embed="rId7"/>
                    <a:stretch>
                      <a:fillRect/>
                    </a:stretch>
                  </pic:blipFill>
                  <pic:spPr>
                    <a:xfrm>
                      <a:off x="0" y="0"/>
                      <a:ext cx="2506345" cy="2506345"/>
                    </a:xfrm>
                    <a:prstGeom prst="rect">
                      <a:avLst/>
                    </a:prstGeom>
                  </pic:spPr>
                </pic:pic>
              </a:graphicData>
            </a:graphic>
          </wp:anchor>
        </w:drawing>
      </w:r>
    </w:p>
    <w:p w14:paraId="525D2390">
      <w:pPr>
        <w:pStyle w:val="4"/>
        <w:keepNext w:val="0"/>
        <w:keepLines w:val="0"/>
        <w:pageBreakBefore w:val="0"/>
        <w:numPr>
          <w:ilvl w:val="0"/>
          <w:numId w:val="0"/>
        </w:numPr>
        <w:kinsoku/>
        <w:wordWrap/>
        <w:overflowPunct/>
        <w:topLinePunct w:val="0"/>
        <w:bidi w:val="0"/>
        <w:snapToGrid/>
        <w:spacing w:line="520" w:lineRule="exac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p>
    <w:p w14:paraId="5FFA3278">
      <w:pPr>
        <w:pStyle w:val="4"/>
        <w:keepNext w:val="0"/>
        <w:keepLines w:val="0"/>
        <w:pageBreakBefore w:val="0"/>
        <w:numPr>
          <w:ilvl w:val="0"/>
          <w:numId w:val="0"/>
        </w:numPr>
        <w:kinsoku/>
        <w:wordWrap/>
        <w:overflowPunct/>
        <w:topLinePunct w:val="0"/>
        <w:bidi w:val="0"/>
        <w:snapToGrid/>
        <w:spacing w:line="520" w:lineRule="exac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p>
    <w:p w14:paraId="02AF6D98">
      <w:pPr>
        <w:pStyle w:val="4"/>
        <w:keepNext w:val="0"/>
        <w:keepLines w:val="0"/>
        <w:pageBreakBefore w:val="0"/>
        <w:numPr>
          <w:ilvl w:val="0"/>
          <w:numId w:val="0"/>
        </w:numPr>
        <w:kinsoku/>
        <w:wordWrap/>
        <w:overflowPunct/>
        <w:topLinePunct w:val="0"/>
        <w:bidi w:val="0"/>
        <w:snapToGrid/>
        <w:spacing w:line="520" w:lineRule="exac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p>
    <w:p w14:paraId="7C45E1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0CCF3A2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51E413B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73EF73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72FE2D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p>
    <w:p w14:paraId="044A849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p>
    <w:p w14:paraId="02C6A2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2.参赛人员可扫描下方二维码进行理论考核赛前练习。</w:t>
      </w:r>
    </w:p>
    <w:p w14:paraId="10FCD98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0FF343A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28"/>
          <w:szCs w:val="28"/>
        </w:rPr>
        <w:drawing>
          <wp:anchor distT="0" distB="0" distL="114300" distR="114300" simplePos="0" relativeHeight="251659264" behindDoc="0" locked="0" layoutInCell="1" allowOverlap="1">
            <wp:simplePos x="0" y="0"/>
            <wp:positionH relativeFrom="column">
              <wp:posOffset>28575</wp:posOffset>
            </wp:positionH>
            <wp:positionV relativeFrom="paragraph">
              <wp:posOffset>-190500</wp:posOffset>
            </wp:positionV>
            <wp:extent cx="4359275" cy="2475230"/>
            <wp:effectExtent l="0" t="0" r="3175" b="127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4359275" cy="2475230"/>
                    </a:xfrm>
                    <a:prstGeom prst="rect">
                      <a:avLst/>
                    </a:prstGeom>
                    <a:noFill/>
                    <a:ln>
                      <a:noFill/>
                    </a:ln>
                  </pic:spPr>
                </pic:pic>
              </a:graphicData>
            </a:graphic>
          </wp:anchor>
        </w:drawing>
      </w:r>
    </w:p>
    <w:p w14:paraId="62C9F56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4693F1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3D92A0D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EEA144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1E5B44E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00CD695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仿宋_GB2312" w:hAnsi="仿宋_GB2312" w:eastAsia="仿宋_GB2312" w:cs="仿宋_GB2312"/>
          <w:sz w:val="32"/>
          <w:szCs w:val="32"/>
          <w:lang w:val="en-US" w:eastAsia="zh-CN"/>
        </w:rPr>
      </w:pPr>
    </w:p>
    <w:p w14:paraId="076DA5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sz w:val="32"/>
          <w:szCs w:val="32"/>
          <w:lang w:val="en-US" w:eastAsia="zh-CN"/>
        </w:rPr>
        <w:t xml:space="preserve"> </w:t>
      </w:r>
      <w:r>
        <w:rPr>
          <w:rFonts w:hint="eastAsia" w:ascii="黑体" w:hAnsi="黑体" w:eastAsia="黑体" w:cs="黑体"/>
          <w:i w:val="0"/>
          <w:iCs w:val="0"/>
          <w:caps w:val="0"/>
          <w:color w:val="000000"/>
          <w:spacing w:val="0"/>
          <w:kern w:val="0"/>
          <w:sz w:val="32"/>
          <w:szCs w:val="32"/>
          <w:shd w:val="clear" w:fill="FFFFFF"/>
          <w:lang w:val="en-US" w:eastAsia="zh-CN" w:bidi="ar"/>
        </w:rPr>
        <w:t>八、联系人及联系方式</w:t>
      </w:r>
    </w:p>
    <w:p w14:paraId="11737B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主办单位：资产与实验室管理处</w:t>
      </w:r>
    </w:p>
    <w:p w14:paraId="6FD9460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曹老师：0595-22050058</w:t>
      </w:r>
    </w:p>
    <w:p w14:paraId="5886E24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lang w:val="en-US" w:eastAsia="zh-CN" w:bidi="ar"/>
        </w:rPr>
        <w:t>承办单位：资源与环境科学学院</w:t>
      </w:r>
    </w:p>
    <w:p w14:paraId="41986F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许老师：0595-22919981</w:t>
      </w:r>
    </w:p>
    <w:p w14:paraId="6EC36B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pPr>
    </w:p>
    <w:p w14:paraId="73D927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pPr>
    </w:p>
    <w:p w14:paraId="7D5328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pPr>
    </w:p>
    <w:p w14:paraId="6B58C09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仿宋_GB2312" w:eastAsia="仿宋_GB2312" w:cs="仿宋_GB2312"/>
          <w:i w:val="0"/>
          <w:iCs w:val="0"/>
          <w:caps w:val="0"/>
          <w:color w:val="000000"/>
          <w:spacing w:val="0"/>
          <w:kern w:val="0"/>
          <w:sz w:val="32"/>
          <w:szCs w:val="32"/>
          <w:highlight w:val="yellow"/>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fill="FFFFFF"/>
          <w:lang w:val="en-US" w:eastAsia="zh-CN" w:bidi="ar"/>
        </w:rPr>
        <w:t>附表：高等学校实验室安全检查项目表（2026）</w:t>
      </w:r>
    </w:p>
    <w:p w14:paraId="32A59D09">
      <w:pPr>
        <w:rPr>
          <w:rFonts w:hint="eastAsia" w:ascii="仿宋_GB2312" w:hAnsi="仿宋_GB2312" w:eastAsia="仿宋_GB2312" w:cs="仿宋_GB2312"/>
          <w:i w:val="0"/>
          <w:iCs w:val="0"/>
          <w:caps w:val="0"/>
          <w:color w:val="000000"/>
          <w:spacing w:val="0"/>
          <w:kern w:val="0"/>
          <w:sz w:val="32"/>
          <w:szCs w:val="32"/>
          <w:highlight w:val="yellow"/>
          <w:shd w:val="clear"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yellow"/>
          <w:shd w:val="clear" w:fill="FFFFFF"/>
          <w:lang w:val="en-US" w:eastAsia="zh-CN" w:bidi="ar"/>
        </w:rPr>
        <w:br w:type="page"/>
      </w:r>
    </w:p>
    <w:p w14:paraId="5F36B83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yellow"/>
          <w:shd w:val="clear" w:fill="FFFFFF"/>
          <w:lang w:val="en-US" w:eastAsia="zh-CN" w:bidi="ar"/>
        </w:rPr>
        <w:sectPr>
          <w:headerReference r:id="rId3" w:type="default"/>
          <w:footerReference r:id="rId4" w:type="default"/>
          <w:pgSz w:w="11906" w:h="16838"/>
          <w:pgMar w:top="1440" w:right="1474" w:bottom="1440" w:left="1587" w:header="851" w:footer="992" w:gutter="0"/>
          <w:pgNumType w:fmt="numberInDash"/>
          <w:cols w:space="0" w:num="1"/>
          <w:rtlGutter w:val="0"/>
          <w:docGrid w:type="lines" w:linePitch="312" w:charSpace="0"/>
        </w:sectPr>
      </w:pPr>
    </w:p>
    <w:p w14:paraId="416BBE26">
      <w:pPr>
        <w:keepNext w:val="0"/>
        <w:keepLines w:val="0"/>
        <w:pageBreakBefore w:val="0"/>
        <w:widowControl w:val="0"/>
        <w:kinsoku/>
        <w:wordWrap/>
        <w:overflowPunct/>
        <w:topLinePunct w:val="0"/>
        <w:autoSpaceDE/>
        <w:autoSpaceDN/>
        <w:bidi w:val="0"/>
        <w:adjustRightInd w:val="0"/>
        <w:snapToGrid w:val="0"/>
        <w:spacing w:before="469" w:beforeLines="150" w:after="313" w:afterLines="100" w:line="500" w:lineRule="exact"/>
        <w:jc w:val="center"/>
        <w:textAlignment w:val="auto"/>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2026</w:t>
      </w:r>
      <w:r>
        <w:rPr>
          <w:rFonts w:hint="eastAsia" w:ascii="方正小标宋简体" w:eastAsia="方正小标宋简体"/>
          <w:sz w:val="44"/>
          <w:szCs w:val="36"/>
        </w:rPr>
        <w:t>）</w:t>
      </w:r>
    </w:p>
    <w:tbl>
      <w:tblPr>
        <w:tblStyle w:val="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03"/>
        <w:gridCol w:w="7777"/>
        <w:gridCol w:w="2543"/>
      </w:tblGrid>
      <w:tr w14:paraId="5DB2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14:paraId="609CE39E">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序号</w:t>
            </w:r>
          </w:p>
        </w:tc>
        <w:tc>
          <w:tcPr>
            <w:tcW w:w="3703" w:type="dxa"/>
            <w:tcMar>
              <w:left w:w="45" w:type="dxa"/>
              <w:right w:w="45" w:type="dxa"/>
            </w:tcMar>
            <w:vAlign w:val="center"/>
          </w:tcPr>
          <w:p w14:paraId="1CA82F79">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检查项目</w:t>
            </w:r>
          </w:p>
        </w:tc>
        <w:tc>
          <w:tcPr>
            <w:tcW w:w="7777" w:type="dxa"/>
            <w:tcMar>
              <w:left w:w="45" w:type="dxa"/>
              <w:right w:w="45" w:type="dxa"/>
            </w:tcMar>
            <w:vAlign w:val="center"/>
          </w:tcPr>
          <w:p w14:paraId="1E4C0329">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检查要点</w:t>
            </w:r>
          </w:p>
        </w:tc>
        <w:tc>
          <w:tcPr>
            <w:tcW w:w="2543" w:type="dxa"/>
            <w:tcMar>
              <w:left w:w="45" w:type="dxa"/>
              <w:right w:w="45" w:type="dxa"/>
            </w:tcMar>
            <w:vAlign w:val="center"/>
          </w:tcPr>
          <w:p w14:paraId="589CD2F0">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情况记录</w:t>
            </w:r>
          </w:p>
        </w:tc>
      </w:tr>
      <w:tr w14:paraId="2D7A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C0C2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w:t>
            </w:r>
          </w:p>
        </w:tc>
        <w:tc>
          <w:tcPr>
            <w:tcW w:w="14023" w:type="dxa"/>
            <w:gridSpan w:val="3"/>
            <w:tcMar>
              <w:left w:w="45" w:type="dxa"/>
              <w:right w:w="45" w:type="dxa"/>
            </w:tcMar>
            <w:vAlign w:val="center"/>
          </w:tcPr>
          <w:p w14:paraId="3C16AC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责任体系</w:t>
            </w:r>
          </w:p>
        </w:tc>
      </w:tr>
      <w:tr w14:paraId="502F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4A2B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3E5D9B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学校层面安全责任体系</w:t>
            </w:r>
          </w:p>
        </w:tc>
      </w:tr>
      <w:tr w14:paraId="0CB7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0A2E5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w:t>
            </w:r>
          </w:p>
        </w:tc>
        <w:tc>
          <w:tcPr>
            <w:tcW w:w="3703" w:type="dxa"/>
            <w:tcMar>
              <w:left w:w="45" w:type="dxa"/>
              <w:right w:w="45" w:type="dxa"/>
            </w:tcMar>
            <w:vAlign w:val="center"/>
          </w:tcPr>
          <w:p w14:paraId="39FCF3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实验室安全工作纳入学校决策研究事项</w:t>
            </w:r>
          </w:p>
        </w:tc>
        <w:tc>
          <w:tcPr>
            <w:tcW w:w="7777" w:type="dxa"/>
            <w:tcMar>
              <w:left w:w="45" w:type="dxa"/>
              <w:right w:w="45" w:type="dxa"/>
            </w:tcMar>
            <w:vAlign w:val="center"/>
          </w:tcPr>
          <w:p w14:paraId="609BA3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（1）有学校相关会议（校务会议、党委常委会会议等）纪要；内容包含实验室安全工作</w:t>
            </w:r>
          </w:p>
        </w:tc>
        <w:tc>
          <w:tcPr>
            <w:tcW w:w="2543" w:type="dxa"/>
            <w:tcMar>
              <w:left w:w="45" w:type="dxa"/>
              <w:right w:w="45" w:type="dxa"/>
            </w:tcMar>
            <w:vAlign w:val="center"/>
          </w:tcPr>
          <w:p w14:paraId="32270A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416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35F4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w:t>
            </w:r>
          </w:p>
        </w:tc>
        <w:tc>
          <w:tcPr>
            <w:tcW w:w="3703" w:type="dxa"/>
            <w:tcMar>
              <w:left w:w="45" w:type="dxa"/>
              <w:right w:w="45" w:type="dxa"/>
            </w:tcMar>
            <w:vAlign w:val="center"/>
          </w:tcPr>
          <w:p w14:paraId="48BB90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有校级实验室安全工作责任人与领导机构</w:t>
            </w:r>
          </w:p>
        </w:tc>
        <w:tc>
          <w:tcPr>
            <w:tcW w:w="7777" w:type="dxa"/>
            <w:tcMar>
              <w:left w:w="45" w:type="dxa"/>
              <w:right w:w="45" w:type="dxa"/>
            </w:tcMar>
            <w:vAlign w:val="center"/>
          </w:tcPr>
          <w:p w14:paraId="7BA3AC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有校级正式发文，明确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14:paraId="61E9DF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F98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D09D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w:t>
            </w:r>
          </w:p>
        </w:tc>
        <w:tc>
          <w:tcPr>
            <w:tcW w:w="3703" w:type="dxa"/>
            <w:tcMar>
              <w:left w:w="45" w:type="dxa"/>
              <w:right w:w="45" w:type="dxa"/>
            </w:tcMar>
            <w:vAlign w:val="center"/>
          </w:tcPr>
          <w:p w14:paraId="7F6D2A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有明确的实验室安全管理职能部门</w:t>
            </w:r>
          </w:p>
        </w:tc>
        <w:tc>
          <w:tcPr>
            <w:tcW w:w="7777" w:type="dxa"/>
            <w:tcMar>
              <w:left w:w="45" w:type="dxa"/>
              <w:right w:w="45" w:type="dxa"/>
            </w:tcMar>
            <w:vAlign w:val="center"/>
          </w:tcPr>
          <w:p w14:paraId="2C97C3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w:t>
            </w:r>
            <w:r>
              <w:rPr>
                <w:rFonts w:hint="default" w:ascii="Times New Roman" w:hAnsi="Times New Roman" w:eastAsia="仿宋_GB2312" w:cs="Times New Roman"/>
                <w:b/>
                <w:bCs/>
                <w:color w:val="auto"/>
                <w:kern w:val="0"/>
                <w:szCs w:val="21"/>
              </w:rPr>
              <w:t>明确牵头职能部门负责实验室安全工作，相关职能部门切实配合落实工作</w:t>
            </w:r>
          </w:p>
        </w:tc>
        <w:tc>
          <w:tcPr>
            <w:tcW w:w="2543" w:type="dxa"/>
            <w:tcMar>
              <w:left w:w="45" w:type="dxa"/>
              <w:right w:w="45" w:type="dxa"/>
            </w:tcMar>
            <w:vAlign w:val="center"/>
          </w:tcPr>
          <w:p w14:paraId="1F4450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C47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67E2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1.1.4</w:t>
            </w:r>
          </w:p>
        </w:tc>
        <w:tc>
          <w:tcPr>
            <w:tcW w:w="3703" w:type="dxa"/>
            <w:tcMar>
              <w:left w:w="45" w:type="dxa"/>
              <w:right w:w="45" w:type="dxa"/>
            </w:tcMar>
            <w:vAlign w:val="center"/>
          </w:tcPr>
          <w:p w14:paraId="651BD8C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学校与院系签订实验室安全责任书</w:t>
            </w:r>
          </w:p>
        </w:tc>
        <w:tc>
          <w:tcPr>
            <w:tcW w:w="7777" w:type="dxa"/>
            <w:tcMar>
              <w:left w:w="45" w:type="dxa"/>
              <w:right w:w="45" w:type="dxa"/>
            </w:tcMar>
            <w:vAlign w:val="center"/>
          </w:tcPr>
          <w:p w14:paraId="40C7934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（4）档案或信息系统里有学校领导与院系负责人每年签字盖章的安全责任书</w:t>
            </w:r>
          </w:p>
        </w:tc>
        <w:tc>
          <w:tcPr>
            <w:tcW w:w="2543" w:type="dxa"/>
            <w:tcMar>
              <w:left w:w="45" w:type="dxa"/>
              <w:right w:w="45" w:type="dxa"/>
            </w:tcMar>
            <w:vAlign w:val="center"/>
          </w:tcPr>
          <w:p w14:paraId="685EB0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1E7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E79D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5A57E6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院系层面安全责任体系</w:t>
            </w:r>
          </w:p>
        </w:tc>
      </w:tr>
      <w:tr w14:paraId="6E6F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07A4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w:t>
            </w:r>
          </w:p>
        </w:tc>
        <w:tc>
          <w:tcPr>
            <w:tcW w:w="3703" w:type="dxa"/>
            <w:tcMar>
              <w:left w:w="45" w:type="dxa"/>
              <w:right w:w="45" w:type="dxa"/>
            </w:tcMar>
            <w:vAlign w:val="center"/>
          </w:tcPr>
          <w:p w14:paraId="4A3C6F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有院系实验室安全工作队伍</w:t>
            </w:r>
          </w:p>
        </w:tc>
        <w:tc>
          <w:tcPr>
            <w:tcW w:w="7777" w:type="dxa"/>
            <w:tcMar>
              <w:left w:w="45" w:type="dxa"/>
              <w:right w:w="45" w:type="dxa"/>
            </w:tcMar>
            <w:vAlign w:val="center"/>
          </w:tcPr>
          <w:p w14:paraId="574723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（5）</w:t>
            </w:r>
            <w:r>
              <w:rPr>
                <w:rFonts w:hint="default" w:ascii="Times New Roman" w:hAnsi="Times New Roman" w:eastAsia="仿宋_GB2312" w:cs="Times New Roman"/>
                <w:b/>
                <w:bCs w:val="0"/>
                <w:color w:val="auto"/>
                <w:kern w:val="0"/>
                <w:szCs w:val="21"/>
              </w:rPr>
              <w:t>院系安全工作队伍由党政负责人、分管实验室安全的领导、院系实验室安全助理或安全主管、实验室负责人、实验室安全员等共同组成。</w:t>
            </w:r>
          </w:p>
          <w:p w14:paraId="26DFEA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（6）有带文号的院系文件，如党政联席会/办公会等纪要、通知或制度等明确其内容</w:t>
            </w:r>
          </w:p>
        </w:tc>
        <w:tc>
          <w:tcPr>
            <w:tcW w:w="2543" w:type="dxa"/>
            <w:tcMar>
              <w:left w:w="45" w:type="dxa"/>
              <w:right w:w="45" w:type="dxa"/>
            </w:tcMar>
            <w:vAlign w:val="center"/>
          </w:tcPr>
          <w:p w14:paraId="317B57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F0B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AB0A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w:t>
            </w:r>
          </w:p>
        </w:tc>
        <w:tc>
          <w:tcPr>
            <w:tcW w:w="3703" w:type="dxa"/>
            <w:tcMar>
              <w:left w:w="45" w:type="dxa"/>
              <w:right w:w="45" w:type="dxa"/>
            </w:tcMar>
            <w:vAlign w:val="center"/>
          </w:tcPr>
          <w:p w14:paraId="624A60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院系签订实验室安全责任书</w:t>
            </w:r>
          </w:p>
        </w:tc>
        <w:tc>
          <w:tcPr>
            <w:tcW w:w="7777" w:type="dxa"/>
            <w:tcMar>
              <w:left w:w="45" w:type="dxa"/>
              <w:right w:w="45" w:type="dxa"/>
            </w:tcMar>
            <w:vAlign w:val="center"/>
          </w:tcPr>
          <w:p w14:paraId="7B5F36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（7）院系签订责任书到实验房间安全责任人</w:t>
            </w:r>
          </w:p>
        </w:tc>
        <w:tc>
          <w:tcPr>
            <w:tcW w:w="2543" w:type="dxa"/>
            <w:tcMar>
              <w:left w:w="45" w:type="dxa"/>
              <w:right w:w="45" w:type="dxa"/>
            </w:tcMar>
            <w:vAlign w:val="center"/>
          </w:tcPr>
          <w:p w14:paraId="6AC046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EDA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CCF83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6E2403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实验室层面安全责任体系</w:t>
            </w:r>
          </w:p>
        </w:tc>
      </w:tr>
      <w:tr w14:paraId="760E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6683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w:t>
            </w:r>
          </w:p>
        </w:tc>
        <w:tc>
          <w:tcPr>
            <w:tcW w:w="3703" w:type="dxa"/>
            <w:tcMar>
              <w:left w:w="45" w:type="dxa"/>
              <w:right w:w="45" w:type="dxa"/>
            </w:tcMar>
            <w:vAlign w:val="center"/>
          </w:tcPr>
          <w:p w14:paraId="3BA22C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明确实验室层面各级责任人及其职责</w:t>
            </w:r>
          </w:p>
        </w:tc>
        <w:tc>
          <w:tcPr>
            <w:tcW w:w="7777" w:type="dxa"/>
            <w:tcMar>
              <w:left w:w="45" w:type="dxa"/>
              <w:right w:w="45" w:type="dxa"/>
            </w:tcMar>
            <w:vAlign w:val="center"/>
          </w:tcPr>
          <w:p w14:paraId="1AACF1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（8）实验室负责人是本实验室安全工作的直接责任人，应严格落实实验室安全准入、隐患整改、个人防护等日常安全管理工作，切实保障实验室安全；</w:t>
            </w:r>
            <w:r>
              <w:rPr>
                <w:rFonts w:hint="default" w:ascii="Times New Roman" w:hAnsi="Times New Roman" w:eastAsia="仿宋_GB2312" w:cs="Times New Roman"/>
                <w:b/>
                <w:bCs/>
                <w:color w:val="auto"/>
                <w:kern w:val="0"/>
                <w:szCs w:val="21"/>
              </w:rPr>
              <w:t>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14:paraId="58DCE8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F0A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A452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w:t>
            </w:r>
          </w:p>
        </w:tc>
        <w:tc>
          <w:tcPr>
            <w:tcW w:w="3703" w:type="dxa"/>
            <w:tcMar>
              <w:left w:w="45" w:type="dxa"/>
              <w:right w:w="45" w:type="dxa"/>
            </w:tcMar>
            <w:vAlign w:val="center"/>
          </w:tcPr>
          <w:p w14:paraId="7B37EF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实验室层面签订实验室安全责任书</w:t>
            </w:r>
          </w:p>
        </w:tc>
        <w:tc>
          <w:tcPr>
            <w:tcW w:w="7777" w:type="dxa"/>
            <w:tcMar>
              <w:left w:w="45" w:type="dxa"/>
              <w:right w:w="45" w:type="dxa"/>
            </w:tcMar>
            <w:vAlign w:val="center"/>
          </w:tcPr>
          <w:p w14:paraId="0827FA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（9）实验室负责人与相关实验人员签订实验室安全责任书</w:t>
            </w:r>
          </w:p>
        </w:tc>
        <w:tc>
          <w:tcPr>
            <w:tcW w:w="2543" w:type="dxa"/>
            <w:tcMar>
              <w:left w:w="45" w:type="dxa"/>
              <w:right w:w="45" w:type="dxa"/>
            </w:tcMar>
            <w:vAlign w:val="center"/>
          </w:tcPr>
          <w:p w14:paraId="77AD1A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856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FD52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1.4</w:t>
            </w:r>
          </w:p>
        </w:tc>
        <w:tc>
          <w:tcPr>
            <w:tcW w:w="14023" w:type="dxa"/>
            <w:gridSpan w:val="3"/>
            <w:tcMar>
              <w:left w:w="45" w:type="dxa"/>
              <w:right w:w="45" w:type="dxa"/>
            </w:tcMar>
            <w:vAlign w:val="center"/>
          </w:tcPr>
          <w:p w14:paraId="6A03C0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安全工作奖惩机制</w:t>
            </w:r>
          </w:p>
        </w:tc>
      </w:tr>
      <w:tr w14:paraId="326F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8ECC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1.4.1</w:t>
            </w:r>
          </w:p>
        </w:tc>
        <w:tc>
          <w:tcPr>
            <w:tcW w:w="3703" w:type="dxa"/>
            <w:tcMar>
              <w:left w:w="45" w:type="dxa"/>
              <w:right w:w="45" w:type="dxa"/>
            </w:tcMar>
            <w:vAlign w:val="center"/>
          </w:tcPr>
          <w:p w14:paraId="3DA542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奖惩机制落实到岗位或个人</w:t>
            </w:r>
          </w:p>
        </w:tc>
        <w:tc>
          <w:tcPr>
            <w:tcW w:w="7777" w:type="dxa"/>
            <w:tcMar>
              <w:left w:w="45" w:type="dxa"/>
              <w:right w:w="45" w:type="dxa"/>
            </w:tcMar>
            <w:vAlign w:val="center"/>
          </w:tcPr>
          <w:p w14:paraId="5D3242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（10）有明确的奖惩管理办法，以及实际执行情况</w:t>
            </w:r>
          </w:p>
        </w:tc>
        <w:tc>
          <w:tcPr>
            <w:tcW w:w="2543" w:type="dxa"/>
            <w:tcMar>
              <w:left w:w="45" w:type="dxa"/>
              <w:right w:w="45" w:type="dxa"/>
            </w:tcMar>
            <w:vAlign w:val="center"/>
          </w:tcPr>
          <w:p w14:paraId="3ABFDD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4E8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97EE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w:t>
            </w:r>
          </w:p>
        </w:tc>
        <w:tc>
          <w:tcPr>
            <w:tcW w:w="3703" w:type="dxa"/>
            <w:tcMar>
              <w:left w:w="45" w:type="dxa"/>
              <w:right w:w="45" w:type="dxa"/>
            </w:tcMar>
            <w:vAlign w:val="center"/>
          </w:tcPr>
          <w:p w14:paraId="37E701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依法依规进行事故调查和责任追究</w:t>
            </w:r>
          </w:p>
        </w:tc>
        <w:tc>
          <w:tcPr>
            <w:tcW w:w="7777" w:type="dxa"/>
            <w:tcMar>
              <w:left w:w="45" w:type="dxa"/>
              <w:right w:w="45" w:type="dxa"/>
            </w:tcMar>
            <w:vAlign w:val="center"/>
          </w:tcPr>
          <w:p w14:paraId="70DCBF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（11）检查事故处理执行情况</w:t>
            </w:r>
          </w:p>
        </w:tc>
        <w:tc>
          <w:tcPr>
            <w:tcW w:w="2543" w:type="dxa"/>
            <w:tcMar>
              <w:left w:w="45" w:type="dxa"/>
              <w:right w:w="45" w:type="dxa"/>
            </w:tcMar>
            <w:vAlign w:val="center"/>
          </w:tcPr>
          <w:p w14:paraId="1E7973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40D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1F77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1.5</w:t>
            </w:r>
          </w:p>
        </w:tc>
        <w:tc>
          <w:tcPr>
            <w:tcW w:w="14023" w:type="dxa"/>
            <w:gridSpan w:val="3"/>
            <w:tcMar>
              <w:left w:w="45" w:type="dxa"/>
              <w:right w:w="45" w:type="dxa"/>
            </w:tcMar>
            <w:vAlign w:val="center"/>
          </w:tcPr>
          <w:p w14:paraId="03F73B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经费保障</w:t>
            </w:r>
          </w:p>
        </w:tc>
      </w:tr>
      <w:tr w14:paraId="1B48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DCE0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1.5.1</w:t>
            </w:r>
          </w:p>
        </w:tc>
        <w:tc>
          <w:tcPr>
            <w:tcW w:w="3703" w:type="dxa"/>
            <w:tcMar>
              <w:left w:w="45" w:type="dxa"/>
              <w:right w:w="45" w:type="dxa"/>
            </w:tcMar>
            <w:vAlign w:val="center"/>
          </w:tcPr>
          <w:p w14:paraId="152FE6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学校每年有实验室安全常规经费预算</w:t>
            </w:r>
          </w:p>
        </w:tc>
        <w:tc>
          <w:tcPr>
            <w:tcW w:w="7777" w:type="dxa"/>
            <w:tcMar>
              <w:left w:w="45" w:type="dxa"/>
              <w:right w:w="45" w:type="dxa"/>
            </w:tcMar>
            <w:vAlign w:val="center"/>
          </w:tcPr>
          <w:p w14:paraId="5BE688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（12）学校职能部门有预算审批凭据证明有专款用于实验室安全工作</w:t>
            </w:r>
          </w:p>
        </w:tc>
        <w:tc>
          <w:tcPr>
            <w:tcW w:w="2543" w:type="dxa"/>
            <w:tcMar>
              <w:left w:w="45" w:type="dxa"/>
              <w:right w:w="45" w:type="dxa"/>
            </w:tcMar>
            <w:vAlign w:val="center"/>
          </w:tcPr>
          <w:p w14:paraId="2817EE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FEC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CD67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w:t>
            </w:r>
          </w:p>
        </w:tc>
        <w:tc>
          <w:tcPr>
            <w:tcW w:w="3703" w:type="dxa"/>
            <w:tcMar>
              <w:left w:w="45" w:type="dxa"/>
              <w:right w:w="45" w:type="dxa"/>
            </w:tcMar>
            <w:vAlign w:val="center"/>
          </w:tcPr>
          <w:p w14:paraId="565466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学校有专项经费投入实验室安全工作，重大安全隐患整改经费能够落实</w:t>
            </w:r>
          </w:p>
        </w:tc>
        <w:tc>
          <w:tcPr>
            <w:tcW w:w="7777" w:type="dxa"/>
            <w:tcMar>
              <w:left w:w="45" w:type="dxa"/>
              <w:right w:w="45" w:type="dxa"/>
            </w:tcMar>
            <w:vAlign w:val="center"/>
          </w:tcPr>
          <w:p w14:paraId="4D8D4C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w:t>
            </w:r>
            <w:r>
              <w:rPr>
                <w:rFonts w:hint="default" w:ascii="Times New Roman" w:hAnsi="Times New Roman" w:eastAsia="仿宋_GB2312" w:cs="Times New Roman"/>
                <w:b/>
                <w:bCs w:val="0"/>
                <w:color w:val="auto"/>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14:paraId="14B424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C891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8BF6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1.5.3</w:t>
            </w:r>
          </w:p>
        </w:tc>
        <w:tc>
          <w:tcPr>
            <w:tcW w:w="3703" w:type="dxa"/>
            <w:tcMar>
              <w:left w:w="45" w:type="dxa"/>
              <w:right w:w="45" w:type="dxa"/>
            </w:tcMar>
            <w:vAlign w:val="center"/>
          </w:tcPr>
          <w:p w14:paraId="4AFA7D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院系有自筹经费投入实验室安全建设与管理</w:t>
            </w:r>
          </w:p>
        </w:tc>
        <w:tc>
          <w:tcPr>
            <w:tcW w:w="7777" w:type="dxa"/>
            <w:tcMar>
              <w:left w:w="45" w:type="dxa"/>
              <w:right w:w="45" w:type="dxa"/>
            </w:tcMar>
            <w:vAlign w:val="center"/>
          </w:tcPr>
          <w:p w14:paraId="17B70B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（14）院系有支出凭据证明有专款用于实验室安全工作</w:t>
            </w:r>
          </w:p>
        </w:tc>
        <w:tc>
          <w:tcPr>
            <w:tcW w:w="2543" w:type="dxa"/>
            <w:tcMar>
              <w:left w:w="45" w:type="dxa"/>
              <w:right w:w="45" w:type="dxa"/>
            </w:tcMar>
            <w:vAlign w:val="center"/>
          </w:tcPr>
          <w:p w14:paraId="6F8137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7467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A7D6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1.6</w:t>
            </w:r>
          </w:p>
        </w:tc>
        <w:tc>
          <w:tcPr>
            <w:tcW w:w="14023" w:type="dxa"/>
            <w:gridSpan w:val="3"/>
            <w:tcMar>
              <w:left w:w="45" w:type="dxa"/>
              <w:right w:w="45" w:type="dxa"/>
            </w:tcMar>
            <w:vAlign w:val="center"/>
          </w:tcPr>
          <w:p w14:paraId="183A79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队伍建设</w:t>
            </w:r>
          </w:p>
        </w:tc>
      </w:tr>
      <w:tr w14:paraId="26CF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FDB8E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w:t>
            </w:r>
          </w:p>
        </w:tc>
        <w:tc>
          <w:tcPr>
            <w:tcW w:w="3703" w:type="dxa"/>
            <w:tcMar>
              <w:left w:w="45" w:type="dxa"/>
              <w:right w:w="45" w:type="dxa"/>
            </w:tcMar>
            <w:vAlign w:val="center"/>
          </w:tcPr>
          <w:p w14:paraId="40CE3A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学校根据需要配备专职或兼职的实验室安全管理人员</w:t>
            </w:r>
          </w:p>
        </w:tc>
        <w:tc>
          <w:tcPr>
            <w:tcW w:w="7777" w:type="dxa"/>
            <w:tcMar>
              <w:left w:w="45" w:type="dxa"/>
              <w:right w:w="45" w:type="dxa"/>
            </w:tcMar>
            <w:vAlign w:val="center"/>
          </w:tcPr>
          <w:p w14:paraId="668BF6E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（15）有重要危险源，即</w:t>
            </w:r>
            <w:r>
              <w:rPr>
                <w:rFonts w:hint="default" w:ascii="Times New Roman" w:hAnsi="Times New Roman" w:eastAsia="仿宋_GB2312" w:cs="Times New Roman"/>
                <w:color w:val="auto"/>
                <w:szCs w:val="21"/>
              </w:rPr>
              <w:t>有毒有害（剧毒、易制爆、易制毒、爆炸品等）化学品、危险（易燃、易爆、有毒、窒息、高压等）气体、动物及病原微生物、辐射源及射线装置、同位素及核材料、危险性机械加工装置、强电强磁与激光设备、特种设备等</w:t>
            </w:r>
            <w:r>
              <w:rPr>
                <w:rFonts w:hint="default" w:ascii="Times New Roman" w:hAnsi="Times New Roman" w:eastAsia="仿宋_GB2312" w:cs="Times New Roman"/>
                <w:color w:val="auto"/>
                <w:kern w:val="0"/>
                <w:szCs w:val="21"/>
              </w:rPr>
              <w:t>的高校应依据工作量，</w:t>
            </w:r>
            <w:r>
              <w:rPr>
                <w:rFonts w:hint="default" w:ascii="Times New Roman" w:hAnsi="Times New Roman" w:eastAsia="仿宋_GB2312" w:cs="Times New Roman"/>
                <w:b/>
                <w:bCs/>
                <w:color w:val="auto"/>
                <w:kern w:val="0"/>
                <w:szCs w:val="21"/>
              </w:rPr>
              <w:t>在校级管理机构配备足够的专职实验室安全管理人员。</w:t>
            </w:r>
          </w:p>
          <w:p w14:paraId="0BC1FE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w:t>
            </w:r>
            <w:r>
              <w:rPr>
                <w:rFonts w:hint="default" w:ascii="Times New Roman" w:hAnsi="Times New Roman" w:eastAsia="仿宋_GB2312" w:cs="Times New Roman"/>
                <w:b/>
                <w:bCs/>
                <w:color w:val="auto"/>
                <w:kern w:val="0"/>
                <w:szCs w:val="21"/>
              </w:rPr>
              <w:t>有重要危险源的院系应依据工作量配备专职实验室安全管理人员</w:t>
            </w:r>
            <w:r>
              <w:rPr>
                <w:rFonts w:hint="default" w:ascii="Times New Roman" w:hAnsi="Times New Roman" w:eastAsia="仿宋_GB2312" w:cs="Times New Roman"/>
                <w:color w:val="auto"/>
                <w:kern w:val="0"/>
                <w:szCs w:val="21"/>
              </w:rPr>
              <w:t>；文、管、艺术类、数学及信息等相关院系配备兼职实验室安全管理人员</w:t>
            </w:r>
          </w:p>
        </w:tc>
        <w:tc>
          <w:tcPr>
            <w:tcW w:w="2543" w:type="dxa"/>
            <w:tcMar>
              <w:left w:w="45" w:type="dxa"/>
              <w:right w:w="45" w:type="dxa"/>
            </w:tcMar>
            <w:vAlign w:val="center"/>
          </w:tcPr>
          <w:p w14:paraId="759CB8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7DE1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05FD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w:t>
            </w:r>
          </w:p>
        </w:tc>
        <w:tc>
          <w:tcPr>
            <w:tcW w:w="3703" w:type="dxa"/>
            <w:tcMar>
              <w:left w:w="45" w:type="dxa"/>
              <w:right w:w="45" w:type="dxa"/>
            </w:tcMar>
            <w:vAlign w:val="center"/>
          </w:tcPr>
          <w:p w14:paraId="74D4B4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有校级实验室安全检查队伍，可以由教师、实验技术人员组成，也可以利用有相关专业能力的社会力量</w:t>
            </w:r>
          </w:p>
        </w:tc>
        <w:tc>
          <w:tcPr>
            <w:tcW w:w="7777" w:type="dxa"/>
            <w:tcMar>
              <w:left w:w="45" w:type="dxa"/>
              <w:right w:w="45" w:type="dxa"/>
            </w:tcMar>
            <w:vAlign w:val="center"/>
          </w:tcPr>
          <w:p w14:paraId="6E2181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（17）有文件证明学校设立了</w:t>
            </w:r>
            <w:r>
              <w:rPr>
                <w:rFonts w:hint="default" w:ascii="Times New Roman" w:hAnsi="Times New Roman" w:eastAsia="仿宋_GB2312" w:cs="Times New Roman"/>
                <w:color w:val="auto"/>
                <w:kern w:val="0"/>
                <w:szCs w:val="21"/>
              </w:rPr>
              <w:t>检查队伍，并有</w:t>
            </w:r>
            <w:r>
              <w:rPr>
                <w:rFonts w:hint="default" w:ascii="Times New Roman" w:hAnsi="Times New Roman" w:eastAsia="仿宋_GB2312" w:cs="Times New Roman"/>
                <w:bCs/>
                <w:color w:val="auto"/>
                <w:kern w:val="0"/>
                <w:szCs w:val="21"/>
              </w:rPr>
              <w:t>工作记录</w:t>
            </w:r>
          </w:p>
        </w:tc>
        <w:tc>
          <w:tcPr>
            <w:tcW w:w="2543" w:type="dxa"/>
            <w:tcMar>
              <w:left w:w="45" w:type="dxa"/>
              <w:right w:w="45" w:type="dxa"/>
            </w:tcMar>
            <w:vAlign w:val="center"/>
          </w:tcPr>
          <w:p w14:paraId="795B8C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CB0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F88D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w:t>
            </w:r>
          </w:p>
        </w:tc>
        <w:tc>
          <w:tcPr>
            <w:tcW w:w="3703" w:type="dxa"/>
            <w:tcMar>
              <w:left w:w="45" w:type="dxa"/>
              <w:right w:w="45" w:type="dxa"/>
            </w:tcMar>
            <w:vAlign w:val="center"/>
          </w:tcPr>
          <w:p w14:paraId="613C2C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各级主管实验室安全的负责人、管理人员及技术人员到岗一年内须接受实验室安全培训</w:t>
            </w:r>
          </w:p>
        </w:tc>
        <w:tc>
          <w:tcPr>
            <w:tcW w:w="7777" w:type="dxa"/>
            <w:tcMar>
              <w:left w:w="45" w:type="dxa"/>
              <w:right w:w="45" w:type="dxa"/>
            </w:tcMar>
            <w:vAlign w:val="center"/>
          </w:tcPr>
          <w:p w14:paraId="4AEFB0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（18）有培训记录（证书、电子文档、书面记录）等证明培训及合格情况</w:t>
            </w:r>
          </w:p>
        </w:tc>
        <w:tc>
          <w:tcPr>
            <w:tcW w:w="2543" w:type="dxa"/>
            <w:tcMar>
              <w:left w:w="45" w:type="dxa"/>
              <w:right w:w="45" w:type="dxa"/>
            </w:tcMar>
            <w:vAlign w:val="center"/>
          </w:tcPr>
          <w:p w14:paraId="55948E0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BC6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27C5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1.7</w:t>
            </w:r>
          </w:p>
        </w:tc>
        <w:tc>
          <w:tcPr>
            <w:tcW w:w="14023" w:type="dxa"/>
            <w:gridSpan w:val="3"/>
            <w:tcMar>
              <w:left w:w="45" w:type="dxa"/>
              <w:right w:w="45" w:type="dxa"/>
            </w:tcMar>
            <w:vAlign w:val="center"/>
          </w:tcPr>
          <w:p w14:paraId="1A73DE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712E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EBDE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w:t>
            </w:r>
          </w:p>
        </w:tc>
        <w:tc>
          <w:tcPr>
            <w:tcW w:w="3703" w:type="dxa"/>
            <w:tcMar>
              <w:left w:w="45" w:type="dxa"/>
              <w:right w:w="45" w:type="dxa"/>
            </w:tcMar>
            <w:vAlign w:val="center"/>
          </w:tcPr>
          <w:p w14:paraId="3167AE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采用信息化手段管理实验室安全</w:t>
            </w:r>
          </w:p>
        </w:tc>
        <w:tc>
          <w:tcPr>
            <w:tcW w:w="7777" w:type="dxa"/>
            <w:tcMar>
              <w:left w:w="45" w:type="dxa"/>
              <w:right w:w="45" w:type="dxa"/>
            </w:tcMar>
            <w:vAlign w:val="center"/>
          </w:tcPr>
          <w:p w14:paraId="2668A8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（19）学校建设信息管理等系统用于实验室安全管理</w:t>
            </w:r>
          </w:p>
        </w:tc>
        <w:tc>
          <w:tcPr>
            <w:tcW w:w="2543" w:type="dxa"/>
            <w:tcMar>
              <w:left w:w="45" w:type="dxa"/>
              <w:right w:w="45" w:type="dxa"/>
            </w:tcMar>
            <w:vAlign w:val="center"/>
          </w:tcPr>
          <w:p w14:paraId="2A3682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2B3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FC15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w:t>
            </w:r>
          </w:p>
        </w:tc>
        <w:tc>
          <w:tcPr>
            <w:tcW w:w="3703" w:type="dxa"/>
            <w:tcMar>
              <w:left w:w="45" w:type="dxa"/>
              <w:right w:w="45" w:type="dxa"/>
            </w:tcMar>
            <w:vAlign w:val="center"/>
          </w:tcPr>
          <w:p w14:paraId="02CD0C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建立实验室安全工作档案</w:t>
            </w:r>
          </w:p>
        </w:tc>
        <w:tc>
          <w:tcPr>
            <w:tcW w:w="7777" w:type="dxa"/>
            <w:tcMar>
              <w:left w:w="45" w:type="dxa"/>
              <w:right w:w="45" w:type="dxa"/>
            </w:tcMar>
            <w:vAlign w:val="center"/>
          </w:tcPr>
          <w:p w14:paraId="33EA84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（20）包括责任体系、队伍建设、安全制度、奖惩、教育培训、安全检查、隐患整改、事故调查与处理、专业安全、其他相关的常规或阶段性工作等，且档案分类科学合理，便于查找</w:t>
            </w:r>
          </w:p>
        </w:tc>
        <w:tc>
          <w:tcPr>
            <w:tcW w:w="2543" w:type="dxa"/>
            <w:tcMar>
              <w:left w:w="45" w:type="dxa"/>
              <w:right w:w="45" w:type="dxa"/>
            </w:tcMar>
            <w:vAlign w:val="center"/>
          </w:tcPr>
          <w:p w14:paraId="2A37FA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7B98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D1DC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w:t>
            </w:r>
          </w:p>
        </w:tc>
        <w:tc>
          <w:tcPr>
            <w:tcW w:w="14023" w:type="dxa"/>
            <w:gridSpan w:val="3"/>
            <w:tcMar>
              <w:left w:w="45" w:type="dxa"/>
              <w:right w:w="45" w:type="dxa"/>
            </w:tcMar>
            <w:vAlign w:val="center"/>
          </w:tcPr>
          <w:p w14:paraId="3DCB3E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规章制度</w:t>
            </w:r>
          </w:p>
        </w:tc>
      </w:tr>
      <w:tr w14:paraId="7301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B8AB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2.1</w:t>
            </w:r>
          </w:p>
        </w:tc>
        <w:tc>
          <w:tcPr>
            <w:tcW w:w="14023" w:type="dxa"/>
            <w:gridSpan w:val="3"/>
            <w:tcMar>
              <w:left w:w="45" w:type="dxa"/>
              <w:right w:w="45" w:type="dxa"/>
            </w:tcMar>
            <w:vAlign w:val="center"/>
          </w:tcPr>
          <w:p w14:paraId="32AA62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实验室安全管理制度</w:t>
            </w:r>
          </w:p>
        </w:tc>
      </w:tr>
      <w:tr w14:paraId="05AB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B936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2.1.1</w:t>
            </w:r>
          </w:p>
        </w:tc>
        <w:tc>
          <w:tcPr>
            <w:tcW w:w="3703" w:type="dxa"/>
            <w:tcMar>
              <w:left w:w="45" w:type="dxa"/>
              <w:right w:w="45" w:type="dxa"/>
            </w:tcMar>
            <w:vAlign w:val="center"/>
          </w:tcPr>
          <w:p w14:paraId="064DB4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学校和院系应有正式发文的实验室安全管理制度</w:t>
            </w:r>
          </w:p>
        </w:tc>
        <w:tc>
          <w:tcPr>
            <w:tcW w:w="7777" w:type="dxa"/>
            <w:tcMar>
              <w:left w:w="45" w:type="dxa"/>
              <w:right w:w="45" w:type="dxa"/>
            </w:tcMar>
            <w:vAlign w:val="center"/>
          </w:tcPr>
          <w:p w14:paraId="1F6177B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（21）有正式发文的实验室安全管理制度，内容包括上位法依据、实验室范围、安全管理原则、组织架构、责任体系、奖惩、事故处理、安全文化等要素</w:t>
            </w:r>
          </w:p>
        </w:tc>
        <w:tc>
          <w:tcPr>
            <w:tcW w:w="2543" w:type="dxa"/>
            <w:tcMar>
              <w:left w:w="45" w:type="dxa"/>
              <w:right w:w="45" w:type="dxa"/>
            </w:tcMar>
            <w:vAlign w:val="center"/>
          </w:tcPr>
          <w:p w14:paraId="086837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0DA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7B6E1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2.2</w:t>
            </w:r>
          </w:p>
        </w:tc>
        <w:tc>
          <w:tcPr>
            <w:tcW w:w="14023" w:type="dxa"/>
            <w:gridSpan w:val="3"/>
            <w:tcMar>
              <w:left w:w="45" w:type="dxa"/>
              <w:right w:w="45" w:type="dxa"/>
            </w:tcMar>
            <w:vAlign w:val="center"/>
          </w:tcPr>
          <w:p w14:paraId="657D58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实验室安全管理办法或细则</w:t>
            </w:r>
          </w:p>
        </w:tc>
      </w:tr>
      <w:tr w14:paraId="501C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133F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2.2.1</w:t>
            </w:r>
          </w:p>
        </w:tc>
        <w:tc>
          <w:tcPr>
            <w:tcW w:w="3703" w:type="dxa"/>
            <w:tcMar>
              <w:left w:w="45" w:type="dxa"/>
              <w:right w:w="45" w:type="dxa"/>
            </w:tcMar>
            <w:vAlign w:val="center"/>
          </w:tcPr>
          <w:p w14:paraId="415E9F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有正式发文的实验室安全管理办法或细则</w:t>
            </w:r>
          </w:p>
        </w:tc>
        <w:tc>
          <w:tcPr>
            <w:tcW w:w="7777" w:type="dxa"/>
            <w:tcMar>
              <w:left w:w="45" w:type="dxa"/>
              <w:right w:w="45" w:type="dxa"/>
            </w:tcMar>
            <w:vAlign w:val="center"/>
          </w:tcPr>
          <w:p w14:paraId="43CE72E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14:paraId="25D4BC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419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DE4B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2.3</w:t>
            </w:r>
          </w:p>
        </w:tc>
        <w:tc>
          <w:tcPr>
            <w:tcW w:w="14023" w:type="dxa"/>
            <w:gridSpan w:val="3"/>
            <w:tcMar>
              <w:left w:w="45" w:type="dxa"/>
              <w:right w:w="45" w:type="dxa"/>
            </w:tcMar>
            <w:vAlign w:val="center"/>
          </w:tcPr>
          <w:p w14:paraId="3BD784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安全应急制度</w:t>
            </w:r>
          </w:p>
        </w:tc>
      </w:tr>
      <w:tr w14:paraId="62D7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2D0D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2.3.1</w:t>
            </w:r>
          </w:p>
        </w:tc>
        <w:tc>
          <w:tcPr>
            <w:tcW w:w="3703" w:type="dxa"/>
            <w:tcMar>
              <w:left w:w="45" w:type="dxa"/>
              <w:right w:w="45" w:type="dxa"/>
            </w:tcMar>
            <w:vAlign w:val="center"/>
          </w:tcPr>
          <w:p w14:paraId="62FD48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学校、院系、实验室有相应的应急预案</w:t>
            </w:r>
          </w:p>
        </w:tc>
        <w:tc>
          <w:tcPr>
            <w:tcW w:w="7777" w:type="dxa"/>
            <w:tcMar>
              <w:left w:w="45" w:type="dxa"/>
              <w:right w:w="45" w:type="dxa"/>
            </w:tcMar>
            <w:vAlign w:val="center"/>
          </w:tcPr>
          <w:p w14:paraId="33DA87F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14:paraId="12DDBA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614F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B2CE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w:t>
            </w:r>
          </w:p>
        </w:tc>
        <w:tc>
          <w:tcPr>
            <w:tcW w:w="14023" w:type="dxa"/>
            <w:gridSpan w:val="3"/>
            <w:tcMar>
              <w:left w:w="45" w:type="dxa"/>
              <w:right w:w="45" w:type="dxa"/>
            </w:tcMar>
            <w:vAlign w:val="center"/>
          </w:tcPr>
          <w:p w14:paraId="732BC2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教育培训</w:t>
            </w:r>
          </w:p>
        </w:tc>
      </w:tr>
      <w:tr w14:paraId="5448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857A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3.1</w:t>
            </w:r>
          </w:p>
        </w:tc>
        <w:tc>
          <w:tcPr>
            <w:tcW w:w="14023" w:type="dxa"/>
            <w:gridSpan w:val="3"/>
            <w:tcMar>
              <w:left w:w="45" w:type="dxa"/>
              <w:right w:w="45" w:type="dxa"/>
            </w:tcMar>
            <w:vAlign w:val="center"/>
          </w:tcPr>
          <w:p w14:paraId="7D72D3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安全教育培训活动</w:t>
            </w:r>
          </w:p>
        </w:tc>
      </w:tr>
      <w:tr w14:paraId="7354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C275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3.1.1</w:t>
            </w:r>
          </w:p>
        </w:tc>
        <w:tc>
          <w:tcPr>
            <w:tcW w:w="3703" w:type="dxa"/>
            <w:tcMar>
              <w:left w:w="45" w:type="dxa"/>
              <w:right w:w="45" w:type="dxa"/>
            </w:tcMar>
            <w:vAlign w:val="center"/>
          </w:tcPr>
          <w:p w14:paraId="4356D8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开设实验室安全必修课或选修课</w:t>
            </w:r>
          </w:p>
        </w:tc>
        <w:tc>
          <w:tcPr>
            <w:tcW w:w="7777" w:type="dxa"/>
            <w:tcMar>
              <w:left w:w="45" w:type="dxa"/>
              <w:right w:w="45" w:type="dxa"/>
            </w:tcMar>
            <w:vAlign w:val="center"/>
          </w:tcPr>
          <w:p w14:paraId="6D6A6F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（24）对于有</w:t>
            </w:r>
            <w:r>
              <w:rPr>
                <w:rFonts w:hint="default" w:ascii="Times New Roman" w:hAnsi="Times New Roman" w:eastAsia="仿宋_GB2312" w:cs="Times New Roman"/>
                <w:color w:val="auto"/>
                <w:kern w:val="0"/>
                <w:szCs w:val="21"/>
              </w:rPr>
              <w:t>重要危险源</w:t>
            </w:r>
            <w:r>
              <w:rPr>
                <w:rFonts w:hint="default" w:ascii="Times New Roman" w:hAnsi="Times New Roman" w:eastAsia="仿宋_GB2312" w:cs="Times New Roman"/>
                <w:bCs/>
                <w:color w:val="auto"/>
                <w:kern w:val="0"/>
                <w:szCs w:val="21"/>
              </w:rPr>
              <w:t>（见第15目）的院系和专业，要开设有学分的安全教育必修课或将安全教育课程纳入必修环节；鼓励其他专业开设安全选修课</w:t>
            </w:r>
          </w:p>
        </w:tc>
        <w:tc>
          <w:tcPr>
            <w:tcW w:w="2543" w:type="dxa"/>
            <w:tcMar>
              <w:left w:w="45" w:type="dxa"/>
              <w:right w:w="45" w:type="dxa"/>
            </w:tcMar>
            <w:vAlign w:val="center"/>
          </w:tcPr>
          <w:p w14:paraId="771DE079">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592A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C8DF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3.1.2</w:t>
            </w:r>
          </w:p>
        </w:tc>
        <w:tc>
          <w:tcPr>
            <w:tcW w:w="3703" w:type="dxa"/>
            <w:tcMar>
              <w:left w:w="45" w:type="dxa"/>
              <w:right w:w="45" w:type="dxa"/>
            </w:tcMar>
            <w:vAlign w:val="center"/>
          </w:tcPr>
          <w:p w14:paraId="48285F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开展安全教育培训活动</w:t>
            </w:r>
          </w:p>
        </w:tc>
        <w:tc>
          <w:tcPr>
            <w:tcW w:w="7777" w:type="dxa"/>
            <w:tcMar>
              <w:left w:w="45" w:type="dxa"/>
              <w:right w:w="45" w:type="dxa"/>
            </w:tcMar>
            <w:vAlign w:val="center"/>
          </w:tcPr>
          <w:p w14:paraId="1BDA41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（25）校级层面有档案证明开展了实验室安全教育培训。</w:t>
            </w:r>
          </w:p>
          <w:p w14:paraId="52759E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（26）院系层面有档案证明开展了实验室安全教育培训，</w:t>
            </w:r>
            <w:r>
              <w:rPr>
                <w:rFonts w:hint="default" w:ascii="Times New Roman" w:hAnsi="Times New Roman" w:eastAsia="仿宋_GB2312" w:cs="Times New Roman"/>
                <w:color w:val="auto"/>
                <w:kern w:val="0"/>
                <w:szCs w:val="21"/>
              </w:rPr>
              <w:t>重点关注外来人员和研究生新生</w:t>
            </w:r>
          </w:p>
        </w:tc>
        <w:tc>
          <w:tcPr>
            <w:tcW w:w="2543" w:type="dxa"/>
            <w:tcMar>
              <w:left w:w="45" w:type="dxa"/>
              <w:right w:w="45" w:type="dxa"/>
            </w:tcMar>
            <w:vAlign w:val="center"/>
          </w:tcPr>
          <w:p w14:paraId="08BF36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5CE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4FE2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3.1.3</w:t>
            </w:r>
          </w:p>
        </w:tc>
        <w:tc>
          <w:tcPr>
            <w:tcW w:w="3703" w:type="dxa"/>
            <w:tcMar>
              <w:left w:w="45" w:type="dxa"/>
              <w:right w:w="45" w:type="dxa"/>
            </w:tcMar>
            <w:vAlign w:val="center"/>
          </w:tcPr>
          <w:p w14:paraId="098231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开展结合学科特点的应急演练</w:t>
            </w:r>
          </w:p>
        </w:tc>
        <w:tc>
          <w:tcPr>
            <w:tcW w:w="7777" w:type="dxa"/>
            <w:tcMar>
              <w:left w:w="45" w:type="dxa"/>
              <w:right w:w="45" w:type="dxa"/>
            </w:tcMar>
            <w:vAlign w:val="center"/>
          </w:tcPr>
          <w:p w14:paraId="77B7A8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（27）有实验室安全事故应急演练</w:t>
            </w:r>
          </w:p>
        </w:tc>
        <w:tc>
          <w:tcPr>
            <w:tcW w:w="2543" w:type="dxa"/>
            <w:tcMar>
              <w:left w:w="45" w:type="dxa"/>
              <w:right w:w="45" w:type="dxa"/>
            </w:tcMar>
            <w:vAlign w:val="center"/>
          </w:tcPr>
          <w:p w14:paraId="383007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A15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0FCDE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3.1.4</w:t>
            </w:r>
          </w:p>
        </w:tc>
        <w:tc>
          <w:tcPr>
            <w:tcW w:w="3703" w:type="dxa"/>
            <w:tcMar>
              <w:left w:w="45" w:type="dxa"/>
              <w:right w:w="45" w:type="dxa"/>
            </w:tcMar>
            <w:vAlign w:val="center"/>
          </w:tcPr>
          <w:p w14:paraId="629714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组织实验室安全知识考试</w:t>
            </w:r>
          </w:p>
        </w:tc>
        <w:tc>
          <w:tcPr>
            <w:tcW w:w="7777" w:type="dxa"/>
            <w:tcMar>
              <w:left w:w="45" w:type="dxa"/>
              <w:right w:w="45" w:type="dxa"/>
            </w:tcMar>
            <w:vAlign w:val="center"/>
          </w:tcPr>
          <w:p w14:paraId="56E6A9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（28）建设有考试系统或考试题库并及时更新，从事实验工作的学生、教职工及外来人员均须参加考试，通过者发放合格证书或保留记录</w:t>
            </w:r>
          </w:p>
        </w:tc>
        <w:tc>
          <w:tcPr>
            <w:tcW w:w="2543" w:type="dxa"/>
            <w:tcMar>
              <w:left w:w="45" w:type="dxa"/>
              <w:right w:w="45" w:type="dxa"/>
            </w:tcMar>
            <w:vAlign w:val="center"/>
          </w:tcPr>
          <w:p w14:paraId="41FFB747">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11D6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87EF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3.2</w:t>
            </w:r>
          </w:p>
        </w:tc>
        <w:tc>
          <w:tcPr>
            <w:tcW w:w="14023" w:type="dxa"/>
            <w:gridSpan w:val="3"/>
            <w:tcMar>
              <w:left w:w="45" w:type="dxa"/>
              <w:right w:w="45" w:type="dxa"/>
            </w:tcMar>
            <w:vAlign w:val="center"/>
          </w:tcPr>
          <w:p w14:paraId="280613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安全文化</w:t>
            </w:r>
          </w:p>
        </w:tc>
      </w:tr>
      <w:tr w14:paraId="1EE50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ACE0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3.2.1</w:t>
            </w:r>
          </w:p>
        </w:tc>
        <w:tc>
          <w:tcPr>
            <w:tcW w:w="3703" w:type="dxa"/>
            <w:tcMar>
              <w:left w:w="45" w:type="dxa"/>
              <w:right w:w="45" w:type="dxa"/>
            </w:tcMar>
            <w:vAlign w:val="center"/>
          </w:tcPr>
          <w:p w14:paraId="0575E7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建设有学校特色的安全文化</w:t>
            </w:r>
          </w:p>
        </w:tc>
        <w:tc>
          <w:tcPr>
            <w:tcW w:w="7777" w:type="dxa"/>
            <w:tcMar>
              <w:left w:w="45" w:type="dxa"/>
              <w:right w:w="45" w:type="dxa"/>
            </w:tcMar>
            <w:vAlign w:val="center"/>
          </w:tcPr>
          <w:p w14:paraId="620BC9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（29）学校有网页设立专栏开展安全宣传。</w:t>
            </w:r>
          </w:p>
          <w:p w14:paraId="18B3CB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（30）编印学校实验室安全手册，将实验室安全手册发放到每一位从事实验活动的师生。</w:t>
            </w:r>
          </w:p>
          <w:p w14:paraId="2E3E82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（31）创新宣传教育形式，通过微信公众号、微博、工作简报、文化月、专项整治活动、安全评估、知识竞赛、微电影等方式，加强安全宣传</w:t>
            </w:r>
          </w:p>
        </w:tc>
        <w:tc>
          <w:tcPr>
            <w:tcW w:w="2543" w:type="dxa"/>
            <w:tcMar>
              <w:left w:w="45" w:type="dxa"/>
              <w:right w:w="45" w:type="dxa"/>
            </w:tcMar>
            <w:vAlign w:val="center"/>
          </w:tcPr>
          <w:p w14:paraId="2AE4DF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DC3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476D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3.2.2</w:t>
            </w:r>
          </w:p>
        </w:tc>
        <w:tc>
          <w:tcPr>
            <w:tcW w:w="3703" w:type="dxa"/>
            <w:tcMar>
              <w:left w:w="45" w:type="dxa"/>
              <w:right w:w="45" w:type="dxa"/>
            </w:tcMar>
            <w:vAlign w:val="center"/>
          </w:tcPr>
          <w:p w14:paraId="48A995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建立实验室安全隐患举报制度</w:t>
            </w:r>
          </w:p>
        </w:tc>
        <w:tc>
          <w:tcPr>
            <w:tcW w:w="7777" w:type="dxa"/>
            <w:tcMar>
              <w:left w:w="45" w:type="dxa"/>
              <w:right w:w="45" w:type="dxa"/>
            </w:tcMar>
            <w:vAlign w:val="center"/>
          </w:tcPr>
          <w:p w14:paraId="49CAC8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（32）建立实验室安全隐患举报制度，公布实验室安全隐患举报邮箱、电话、信箱等</w:t>
            </w:r>
          </w:p>
        </w:tc>
        <w:tc>
          <w:tcPr>
            <w:tcW w:w="2543" w:type="dxa"/>
            <w:tcMar>
              <w:left w:w="45" w:type="dxa"/>
              <w:right w:w="45" w:type="dxa"/>
            </w:tcMar>
            <w:vAlign w:val="center"/>
          </w:tcPr>
          <w:p w14:paraId="5382E733">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58B6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11F8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w:t>
            </w:r>
          </w:p>
        </w:tc>
        <w:tc>
          <w:tcPr>
            <w:tcW w:w="14023" w:type="dxa"/>
            <w:gridSpan w:val="3"/>
            <w:tcMar>
              <w:left w:w="45" w:type="dxa"/>
              <w:right w:w="45" w:type="dxa"/>
            </w:tcMar>
            <w:vAlign w:val="center"/>
          </w:tcPr>
          <w:p w14:paraId="5E87F7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安全准入</w:t>
            </w:r>
          </w:p>
        </w:tc>
      </w:tr>
      <w:tr w14:paraId="2BEA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EECD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4.1</w:t>
            </w:r>
          </w:p>
        </w:tc>
        <w:tc>
          <w:tcPr>
            <w:tcW w:w="11480" w:type="dxa"/>
            <w:gridSpan w:val="2"/>
            <w:tcMar>
              <w:left w:w="45" w:type="dxa"/>
              <w:right w:w="45" w:type="dxa"/>
            </w:tcMar>
            <w:vAlign w:val="center"/>
          </w:tcPr>
          <w:p w14:paraId="59842C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项目安全准入</w:t>
            </w:r>
          </w:p>
        </w:tc>
        <w:tc>
          <w:tcPr>
            <w:tcW w:w="2543" w:type="dxa"/>
            <w:tcMar>
              <w:left w:w="45" w:type="dxa"/>
              <w:right w:w="45" w:type="dxa"/>
            </w:tcMar>
            <w:vAlign w:val="center"/>
          </w:tcPr>
          <w:p w14:paraId="06AC45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055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0847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4.1.1</w:t>
            </w:r>
          </w:p>
        </w:tc>
        <w:tc>
          <w:tcPr>
            <w:tcW w:w="3703" w:type="dxa"/>
            <w:tcMar>
              <w:left w:w="45" w:type="dxa"/>
              <w:right w:w="45" w:type="dxa"/>
            </w:tcMar>
            <w:vAlign w:val="center"/>
          </w:tcPr>
          <w:p w14:paraId="7A8C24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对项目进行实验室安全风险评估，保证实验室满足开展项目活动的安全条件</w:t>
            </w:r>
          </w:p>
        </w:tc>
        <w:tc>
          <w:tcPr>
            <w:tcW w:w="7777" w:type="dxa"/>
            <w:tcMar>
              <w:left w:w="45" w:type="dxa"/>
              <w:right w:w="45" w:type="dxa"/>
            </w:tcMar>
            <w:vAlign w:val="center"/>
          </w:tcPr>
          <w:p w14:paraId="70E741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14:paraId="3A5888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DA9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D4445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4.2</w:t>
            </w:r>
          </w:p>
        </w:tc>
        <w:tc>
          <w:tcPr>
            <w:tcW w:w="11480" w:type="dxa"/>
            <w:gridSpan w:val="2"/>
            <w:tcMar>
              <w:left w:w="45" w:type="dxa"/>
              <w:right w:w="45" w:type="dxa"/>
            </w:tcMar>
            <w:vAlign w:val="center"/>
          </w:tcPr>
          <w:p w14:paraId="790C80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人员安全准入</w:t>
            </w:r>
          </w:p>
        </w:tc>
        <w:tc>
          <w:tcPr>
            <w:tcW w:w="2543" w:type="dxa"/>
            <w:tcMar>
              <w:left w:w="45" w:type="dxa"/>
              <w:right w:w="45" w:type="dxa"/>
            </w:tcMar>
            <w:vAlign w:val="center"/>
          </w:tcPr>
          <w:p w14:paraId="619605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178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C910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4.2.1</w:t>
            </w:r>
          </w:p>
        </w:tc>
        <w:tc>
          <w:tcPr>
            <w:tcW w:w="3703" w:type="dxa"/>
            <w:tcMar>
              <w:left w:w="45" w:type="dxa"/>
              <w:right w:w="45" w:type="dxa"/>
            </w:tcMar>
            <w:vAlign w:val="center"/>
          </w:tcPr>
          <w:p w14:paraId="7D7DFD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实验人员须经过安全培训和考核，获得实验室安全准入资格</w:t>
            </w:r>
          </w:p>
        </w:tc>
        <w:tc>
          <w:tcPr>
            <w:tcW w:w="7777" w:type="dxa"/>
            <w:tcMar>
              <w:left w:w="45" w:type="dxa"/>
              <w:right w:w="45" w:type="dxa"/>
            </w:tcMar>
            <w:vAlign w:val="center"/>
          </w:tcPr>
          <w:p w14:paraId="7335DA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（34）实验人员应获得实验室准入资格，并严格遵守各项管理制度</w:t>
            </w:r>
          </w:p>
        </w:tc>
        <w:tc>
          <w:tcPr>
            <w:tcW w:w="2543" w:type="dxa"/>
            <w:tcMar>
              <w:left w:w="45" w:type="dxa"/>
              <w:right w:w="45" w:type="dxa"/>
            </w:tcMar>
            <w:vAlign w:val="center"/>
          </w:tcPr>
          <w:p w14:paraId="77CFA3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D88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57AD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4.3</w:t>
            </w:r>
          </w:p>
        </w:tc>
        <w:tc>
          <w:tcPr>
            <w:tcW w:w="11480" w:type="dxa"/>
            <w:gridSpan w:val="2"/>
            <w:tcMar>
              <w:left w:w="45" w:type="dxa"/>
              <w:right w:w="45" w:type="dxa"/>
            </w:tcMar>
            <w:vAlign w:val="center"/>
          </w:tcPr>
          <w:p w14:paraId="084E51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安全风险分析</w:t>
            </w:r>
          </w:p>
        </w:tc>
        <w:tc>
          <w:tcPr>
            <w:tcW w:w="2543" w:type="dxa"/>
            <w:tcMar>
              <w:left w:w="45" w:type="dxa"/>
              <w:right w:w="45" w:type="dxa"/>
            </w:tcMar>
            <w:vAlign w:val="center"/>
          </w:tcPr>
          <w:p w14:paraId="064F9D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3364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A855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4.3.1</w:t>
            </w:r>
          </w:p>
        </w:tc>
        <w:tc>
          <w:tcPr>
            <w:tcW w:w="3703" w:type="dxa"/>
            <w:tcMar>
              <w:left w:w="45" w:type="dxa"/>
              <w:right w:w="45" w:type="dxa"/>
            </w:tcMar>
            <w:vAlign w:val="center"/>
          </w:tcPr>
          <w:p w14:paraId="79ECC6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对研究选题进行安全风险分析，做好防控和应急准备</w:t>
            </w:r>
          </w:p>
        </w:tc>
        <w:tc>
          <w:tcPr>
            <w:tcW w:w="7777" w:type="dxa"/>
            <w:tcMar>
              <w:left w:w="45" w:type="dxa"/>
              <w:right w:w="45" w:type="dxa"/>
            </w:tcMar>
            <w:vAlign w:val="center"/>
          </w:tcPr>
          <w:p w14:paraId="731442F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（35）开展实验前应进行安全风险分析，尤其是</w:t>
            </w:r>
            <w:r>
              <w:rPr>
                <w:rFonts w:hint="default" w:ascii="Times New Roman" w:hAnsi="Times New Roman" w:eastAsia="仿宋_GB2312" w:cs="Times New Roman"/>
                <w:b/>
                <w:bCs/>
                <w:color w:val="auto"/>
                <w:kern w:val="0"/>
                <w:szCs w:val="21"/>
              </w:rPr>
              <w:t>改变关键参数必须重新进行分析，通过审核后方可进行实验</w:t>
            </w:r>
          </w:p>
        </w:tc>
        <w:tc>
          <w:tcPr>
            <w:tcW w:w="2543" w:type="dxa"/>
            <w:tcMar>
              <w:left w:w="45" w:type="dxa"/>
              <w:right w:w="45" w:type="dxa"/>
            </w:tcMar>
            <w:vAlign w:val="center"/>
          </w:tcPr>
          <w:p w14:paraId="4D0C07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371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F53F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w:t>
            </w:r>
          </w:p>
        </w:tc>
        <w:tc>
          <w:tcPr>
            <w:tcW w:w="14023" w:type="dxa"/>
            <w:gridSpan w:val="3"/>
            <w:tcMar>
              <w:left w:w="45" w:type="dxa"/>
              <w:right w:w="45" w:type="dxa"/>
            </w:tcMar>
            <w:vAlign w:val="center"/>
          </w:tcPr>
          <w:p w14:paraId="34ED8E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3EAB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AE58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5.1</w:t>
            </w:r>
          </w:p>
        </w:tc>
        <w:tc>
          <w:tcPr>
            <w:tcW w:w="14023" w:type="dxa"/>
            <w:gridSpan w:val="3"/>
            <w:tcMar>
              <w:left w:w="45" w:type="dxa"/>
              <w:right w:w="45" w:type="dxa"/>
            </w:tcMar>
            <w:vAlign w:val="center"/>
          </w:tcPr>
          <w:p w14:paraId="69796E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危险源辨识</w:t>
            </w:r>
          </w:p>
        </w:tc>
      </w:tr>
      <w:tr w14:paraId="174A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AE4A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5.1.1</w:t>
            </w:r>
          </w:p>
        </w:tc>
        <w:tc>
          <w:tcPr>
            <w:tcW w:w="3703" w:type="dxa"/>
            <w:tcMar>
              <w:left w:w="45" w:type="dxa"/>
              <w:right w:w="45" w:type="dxa"/>
            </w:tcMar>
            <w:vAlign w:val="center"/>
          </w:tcPr>
          <w:p w14:paraId="59E456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学校、院系、实验室层面建立危险源分布清单</w:t>
            </w:r>
          </w:p>
        </w:tc>
        <w:tc>
          <w:tcPr>
            <w:tcW w:w="7777" w:type="dxa"/>
            <w:tcMar>
              <w:left w:w="45" w:type="dxa"/>
              <w:right w:w="45" w:type="dxa"/>
            </w:tcMar>
            <w:vAlign w:val="center"/>
          </w:tcPr>
          <w:p w14:paraId="19C516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（36）清单内容须包括单位、房间、类别、数量、分级分类、责任人等信息</w:t>
            </w:r>
          </w:p>
        </w:tc>
        <w:tc>
          <w:tcPr>
            <w:tcW w:w="2543" w:type="dxa"/>
            <w:tcMar>
              <w:left w:w="45" w:type="dxa"/>
              <w:right w:w="45" w:type="dxa"/>
            </w:tcMar>
            <w:vAlign w:val="center"/>
          </w:tcPr>
          <w:p w14:paraId="61687D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C90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4984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5.1.2</w:t>
            </w:r>
          </w:p>
        </w:tc>
        <w:tc>
          <w:tcPr>
            <w:tcW w:w="3703" w:type="dxa"/>
            <w:tcMar>
              <w:left w:w="45" w:type="dxa"/>
              <w:right w:w="45" w:type="dxa"/>
            </w:tcMar>
            <w:vAlign w:val="center"/>
          </w:tcPr>
          <w:p w14:paraId="1BE0E2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涉及危险源的实验场所，须有明确的警示标识</w:t>
            </w:r>
          </w:p>
        </w:tc>
        <w:tc>
          <w:tcPr>
            <w:tcW w:w="7777" w:type="dxa"/>
            <w:tcMar>
              <w:left w:w="45" w:type="dxa"/>
              <w:right w:w="45" w:type="dxa"/>
            </w:tcMar>
            <w:vAlign w:val="center"/>
          </w:tcPr>
          <w:p w14:paraId="710980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（37）涉及重要危险源（见第15目）的场所，有显著的警示标识</w:t>
            </w:r>
          </w:p>
        </w:tc>
        <w:tc>
          <w:tcPr>
            <w:tcW w:w="2543" w:type="dxa"/>
            <w:tcMar>
              <w:left w:w="45" w:type="dxa"/>
              <w:right w:w="45" w:type="dxa"/>
            </w:tcMar>
            <w:vAlign w:val="center"/>
          </w:tcPr>
          <w:p w14:paraId="553F14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B28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E593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5.1.3</w:t>
            </w:r>
          </w:p>
        </w:tc>
        <w:tc>
          <w:tcPr>
            <w:tcW w:w="3703" w:type="dxa"/>
            <w:tcMar>
              <w:left w:w="45" w:type="dxa"/>
              <w:right w:w="45" w:type="dxa"/>
            </w:tcMar>
            <w:vAlign w:val="center"/>
          </w:tcPr>
          <w:p w14:paraId="45A744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建立针对重要危险源的风险管理和应急预案</w:t>
            </w:r>
          </w:p>
        </w:tc>
        <w:tc>
          <w:tcPr>
            <w:tcW w:w="7777" w:type="dxa"/>
            <w:tcMar>
              <w:left w:w="45" w:type="dxa"/>
              <w:right w:w="45" w:type="dxa"/>
            </w:tcMar>
            <w:vAlign w:val="center"/>
          </w:tcPr>
          <w:p w14:paraId="0D75AB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38）建立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应急管理等主管部门报备并接受监督。</w:t>
            </w:r>
          </w:p>
          <w:p w14:paraId="40C04C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（39）院系和实验室应建立针对重要危险源的应急预案</w:t>
            </w:r>
          </w:p>
        </w:tc>
        <w:tc>
          <w:tcPr>
            <w:tcW w:w="2543" w:type="dxa"/>
            <w:tcMar>
              <w:left w:w="45" w:type="dxa"/>
              <w:right w:w="45" w:type="dxa"/>
            </w:tcMar>
            <w:vAlign w:val="center"/>
          </w:tcPr>
          <w:p w14:paraId="2A5B8A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54A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D47C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5.2</w:t>
            </w:r>
          </w:p>
        </w:tc>
        <w:tc>
          <w:tcPr>
            <w:tcW w:w="14023" w:type="dxa"/>
            <w:gridSpan w:val="3"/>
            <w:tcMar>
              <w:left w:w="45" w:type="dxa"/>
              <w:right w:w="45" w:type="dxa"/>
            </w:tcMar>
            <w:vAlign w:val="center"/>
          </w:tcPr>
          <w:p w14:paraId="0AD8E2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3C4DA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2047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5.2.1</w:t>
            </w:r>
          </w:p>
        </w:tc>
        <w:tc>
          <w:tcPr>
            <w:tcW w:w="3703" w:type="dxa"/>
            <w:tcMar>
              <w:left w:w="45" w:type="dxa"/>
              <w:right w:w="45" w:type="dxa"/>
            </w:tcMar>
            <w:vAlign w:val="center"/>
          </w:tcPr>
          <w:p w14:paraId="65572B6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学校、院系层面安全检查及实验室自检自查</w:t>
            </w:r>
          </w:p>
        </w:tc>
        <w:tc>
          <w:tcPr>
            <w:tcW w:w="7777" w:type="dxa"/>
            <w:tcMar>
              <w:left w:w="45" w:type="dxa"/>
              <w:right w:w="45" w:type="dxa"/>
            </w:tcMar>
            <w:vAlign w:val="center"/>
          </w:tcPr>
          <w:p w14:paraId="07FD7A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（40）学校、院系、实验室三个层面按照不少于实验室安全分级分类管理要求的检查频次开展安全检查。安全检查及整改都应保存记录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14:paraId="02B958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0D8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121A9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5.2.2</w:t>
            </w:r>
          </w:p>
        </w:tc>
        <w:tc>
          <w:tcPr>
            <w:tcW w:w="3703" w:type="dxa"/>
            <w:tcMar>
              <w:left w:w="45" w:type="dxa"/>
              <w:right w:w="45" w:type="dxa"/>
            </w:tcMar>
            <w:vAlign w:val="center"/>
          </w:tcPr>
          <w:p w14:paraId="1C8763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针对高危实验物品及实验过程开展专项检查</w:t>
            </w:r>
          </w:p>
        </w:tc>
        <w:tc>
          <w:tcPr>
            <w:tcW w:w="7777" w:type="dxa"/>
            <w:tcMar>
              <w:left w:w="45" w:type="dxa"/>
              <w:right w:w="45" w:type="dxa"/>
            </w:tcMar>
            <w:vAlign w:val="center"/>
          </w:tcPr>
          <w:p w14:paraId="2C92BC0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（41）针对</w:t>
            </w:r>
            <w:r>
              <w:rPr>
                <w:rFonts w:hint="default" w:ascii="Times New Roman" w:hAnsi="Times New Roman" w:eastAsia="仿宋_GB2312" w:cs="Times New Roman"/>
                <w:bCs/>
                <w:color w:val="auto"/>
                <w:kern w:val="0"/>
                <w:szCs w:val="21"/>
              </w:rPr>
              <w:t>重要危险源（见第15目）</w:t>
            </w:r>
            <w:r>
              <w:rPr>
                <w:rFonts w:hint="default" w:ascii="Times New Roman" w:hAnsi="Times New Roman" w:eastAsia="仿宋_GB2312" w:cs="Times New Roman"/>
                <w:color w:val="auto"/>
                <w:kern w:val="0"/>
                <w:szCs w:val="21"/>
              </w:rPr>
              <w:t>，开展定期专项检查</w:t>
            </w:r>
          </w:p>
        </w:tc>
        <w:tc>
          <w:tcPr>
            <w:tcW w:w="2543" w:type="dxa"/>
            <w:tcMar>
              <w:left w:w="45" w:type="dxa"/>
              <w:right w:w="45" w:type="dxa"/>
            </w:tcMar>
            <w:vAlign w:val="center"/>
          </w:tcPr>
          <w:p w14:paraId="2DA4A5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AB6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17D3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5.2.3</w:t>
            </w:r>
          </w:p>
        </w:tc>
        <w:tc>
          <w:tcPr>
            <w:tcW w:w="3703" w:type="dxa"/>
            <w:tcMar>
              <w:left w:w="45" w:type="dxa"/>
              <w:right w:w="45" w:type="dxa"/>
            </w:tcMar>
            <w:vAlign w:val="center"/>
          </w:tcPr>
          <w:p w14:paraId="292991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安全检查人员应配备专业的防护和计量用具</w:t>
            </w:r>
          </w:p>
        </w:tc>
        <w:tc>
          <w:tcPr>
            <w:tcW w:w="7777" w:type="dxa"/>
            <w:tcMar>
              <w:left w:w="45" w:type="dxa"/>
              <w:right w:w="45" w:type="dxa"/>
            </w:tcMar>
            <w:vAlign w:val="center"/>
          </w:tcPr>
          <w:p w14:paraId="2D2B09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42）安全检查人员要佩戴标识、配备照相器具。进入涉及危化品、生物、辐射等的实验室要穿戴必要的防护装具；检查辐射场所要佩戴个人辐射剂量计；配备必要的测量、计量用具（手持式VOC检测仪、声级计、风速仪、电笔、万用表等）</w:t>
            </w:r>
          </w:p>
        </w:tc>
        <w:tc>
          <w:tcPr>
            <w:tcW w:w="2543" w:type="dxa"/>
            <w:tcMar>
              <w:left w:w="45" w:type="dxa"/>
              <w:right w:w="45" w:type="dxa"/>
            </w:tcMar>
            <w:vAlign w:val="center"/>
          </w:tcPr>
          <w:p w14:paraId="5B6E0E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rPr>
            </w:pPr>
          </w:p>
        </w:tc>
      </w:tr>
      <w:tr w14:paraId="1CD0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2372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5.3</w:t>
            </w:r>
          </w:p>
        </w:tc>
        <w:tc>
          <w:tcPr>
            <w:tcW w:w="14023" w:type="dxa"/>
            <w:gridSpan w:val="3"/>
            <w:tcMar>
              <w:left w:w="45" w:type="dxa"/>
              <w:right w:w="45" w:type="dxa"/>
            </w:tcMar>
            <w:vAlign w:val="center"/>
          </w:tcPr>
          <w:p w14:paraId="2F6798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安全隐患整改</w:t>
            </w:r>
          </w:p>
        </w:tc>
      </w:tr>
      <w:tr w14:paraId="0185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BBF9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5.3.1</w:t>
            </w:r>
          </w:p>
        </w:tc>
        <w:tc>
          <w:tcPr>
            <w:tcW w:w="3703" w:type="dxa"/>
            <w:tcMar>
              <w:left w:w="45" w:type="dxa"/>
              <w:right w:w="45" w:type="dxa"/>
            </w:tcMar>
            <w:vAlign w:val="center"/>
          </w:tcPr>
          <w:p w14:paraId="30243F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检查中发现的问题应以正式形式通知到相关负责人</w:t>
            </w:r>
          </w:p>
        </w:tc>
        <w:tc>
          <w:tcPr>
            <w:tcW w:w="7777" w:type="dxa"/>
            <w:tcMar>
              <w:left w:w="45" w:type="dxa"/>
              <w:right w:w="45" w:type="dxa"/>
            </w:tcMar>
            <w:vAlign w:val="center"/>
          </w:tcPr>
          <w:p w14:paraId="2482D6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（43）通知的方式包括校网上公告、实验室安全简报、书面或电子的整改通知书等形式</w:t>
            </w:r>
          </w:p>
        </w:tc>
        <w:tc>
          <w:tcPr>
            <w:tcW w:w="2543" w:type="dxa"/>
            <w:tcMar>
              <w:left w:w="45" w:type="dxa"/>
              <w:right w:w="45" w:type="dxa"/>
            </w:tcMar>
            <w:vAlign w:val="center"/>
          </w:tcPr>
          <w:p w14:paraId="7D52AA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51F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E4E6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5.3.2</w:t>
            </w:r>
          </w:p>
        </w:tc>
        <w:tc>
          <w:tcPr>
            <w:tcW w:w="3703" w:type="dxa"/>
            <w:tcMar>
              <w:left w:w="45" w:type="dxa"/>
              <w:right w:w="45" w:type="dxa"/>
            </w:tcMar>
            <w:vAlign w:val="center"/>
          </w:tcPr>
          <w:p w14:paraId="17DACE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院系须及时组织隐患整改</w:t>
            </w:r>
          </w:p>
        </w:tc>
        <w:tc>
          <w:tcPr>
            <w:tcW w:w="7777" w:type="dxa"/>
            <w:tcMar>
              <w:left w:w="45" w:type="dxa"/>
              <w:right w:w="45" w:type="dxa"/>
            </w:tcMar>
            <w:vAlign w:val="center"/>
          </w:tcPr>
          <w:p w14:paraId="3C688A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（44）整改报告应在规定时间内提交学校管理部门。</w:t>
            </w:r>
          </w:p>
          <w:p w14:paraId="2BC0AA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（45）</w:t>
            </w:r>
            <w:r>
              <w:rPr>
                <w:rFonts w:hint="default" w:ascii="Times New Roman" w:hAnsi="Times New Roman" w:eastAsia="仿宋_GB2312" w:cs="Times New Roman"/>
                <w:b/>
                <w:bCs/>
                <w:color w:val="auto"/>
                <w:kern w:val="0"/>
                <w:szCs w:val="21"/>
              </w:rPr>
              <w:t>如存在重大隐患，实验室应立即停止实验活动，整改完成或采取相应防护措施后方能恢复实验</w:t>
            </w:r>
          </w:p>
        </w:tc>
        <w:tc>
          <w:tcPr>
            <w:tcW w:w="2543" w:type="dxa"/>
            <w:tcMar>
              <w:left w:w="45" w:type="dxa"/>
              <w:right w:w="45" w:type="dxa"/>
            </w:tcMar>
            <w:vAlign w:val="center"/>
          </w:tcPr>
          <w:p w14:paraId="632B50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D93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CCF4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5.4</w:t>
            </w:r>
          </w:p>
        </w:tc>
        <w:tc>
          <w:tcPr>
            <w:tcW w:w="14023" w:type="dxa"/>
            <w:gridSpan w:val="3"/>
            <w:tcMar>
              <w:left w:w="45" w:type="dxa"/>
              <w:right w:w="45" w:type="dxa"/>
            </w:tcMar>
            <w:vAlign w:val="center"/>
          </w:tcPr>
          <w:p w14:paraId="4B0B59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安全报告</w:t>
            </w:r>
          </w:p>
        </w:tc>
      </w:tr>
      <w:tr w14:paraId="5C64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87C0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5.4.1</w:t>
            </w:r>
          </w:p>
        </w:tc>
        <w:tc>
          <w:tcPr>
            <w:tcW w:w="3703" w:type="dxa"/>
            <w:tcMar>
              <w:left w:w="45" w:type="dxa"/>
              <w:right w:w="45" w:type="dxa"/>
            </w:tcMar>
            <w:vAlign w:val="center"/>
          </w:tcPr>
          <w:p w14:paraId="23AF6F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学校有定期/不定期</w:t>
            </w:r>
            <w:r>
              <w:rPr>
                <w:rFonts w:hint="default" w:ascii="Times New Roman" w:hAnsi="Times New Roman" w:eastAsia="仿宋_GB2312" w:cs="Times New Roman"/>
                <w:bCs/>
                <w:color w:val="auto"/>
                <w:kern w:val="0"/>
                <w:szCs w:val="21"/>
              </w:rPr>
              <w:t>的</w:t>
            </w:r>
            <w:r>
              <w:rPr>
                <w:rFonts w:hint="default" w:ascii="Times New Roman" w:hAnsi="Times New Roman" w:eastAsia="仿宋_GB2312" w:cs="Times New Roman"/>
                <w:color w:val="auto"/>
                <w:kern w:val="0"/>
                <w:szCs w:val="21"/>
              </w:rPr>
              <w:t>安全检查通报；院系有安全检查及整改记录</w:t>
            </w:r>
          </w:p>
        </w:tc>
        <w:tc>
          <w:tcPr>
            <w:tcW w:w="7777" w:type="dxa"/>
            <w:tcMar>
              <w:left w:w="45" w:type="dxa"/>
              <w:right w:w="45" w:type="dxa"/>
            </w:tcMar>
            <w:vAlign w:val="center"/>
          </w:tcPr>
          <w:p w14:paraId="484F27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（46）存有相关资料或电子文档</w:t>
            </w:r>
          </w:p>
        </w:tc>
        <w:tc>
          <w:tcPr>
            <w:tcW w:w="2543" w:type="dxa"/>
            <w:tcMar>
              <w:left w:w="45" w:type="dxa"/>
              <w:right w:w="45" w:type="dxa"/>
            </w:tcMar>
            <w:vAlign w:val="center"/>
          </w:tcPr>
          <w:p w14:paraId="2F23BD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F8D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10FF4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w:t>
            </w:r>
          </w:p>
        </w:tc>
        <w:tc>
          <w:tcPr>
            <w:tcW w:w="14023" w:type="dxa"/>
            <w:gridSpan w:val="3"/>
            <w:tcMar>
              <w:left w:w="45" w:type="dxa"/>
              <w:right w:w="45" w:type="dxa"/>
            </w:tcMar>
            <w:vAlign w:val="center"/>
          </w:tcPr>
          <w:p w14:paraId="5C65E6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实验场所</w:t>
            </w:r>
          </w:p>
        </w:tc>
      </w:tr>
      <w:tr w14:paraId="53A9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B37F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6.1</w:t>
            </w:r>
          </w:p>
        </w:tc>
        <w:tc>
          <w:tcPr>
            <w:tcW w:w="14023" w:type="dxa"/>
            <w:gridSpan w:val="3"/>
            <w:tcMar>
              <w:left w:w="45" w:type="dxa"/>
              <w:right w:w="45" w:type="dxa"/>
            </w:tcMar>
            <w:vAlign w:val="center"/>
          </w:tcPr>
          <w:p w14:paraId="397FC8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场所环境</w:t>
            </w:r>
          </w:p>
        </w:tc>
      </w:tr>
      <w:tr w14:paraId="7C8D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A80A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6.1.1</w:t>
            </w:r>
          </w:p>
        </w:tc>
        <w:tc>
          <w:tcPr>
            <w:tcW w:w="3703" w:type="dxa"/>
            <w:tcMar>
              <w:left w:w="45" w:type="dxa"/>
              <w:right w:w="45" w:type="dxa"/>
            </w:tcMar>
            <w:vAlign w:val="center"/>
          </w:tcPr>
          <w:p w14:paraId="633228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实验场所应张贴安全信息牌</w:t>
            </w:r>
          </w:p>
        </w:tc>
        <w:tc>
          <w:tcPr>
            <w:tcW w:w="7777" w:type="dxa"/>
            <w:tcMar>
              <w:left w:w="45" w:type="dxa"/>
              <w:right w:w="45" w:type="dxa"/>
            </w:tcMar>
            <w:vAlign w:val="center"/>
          </w:tcPr>
          <w:p w14:paraId="2845A8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（47）每个房间门口挂有安全信息牌，信息包括：实验室分级分类结果、安全风险点的警示标识、安全责任人、涉及危险类别、防护措施和有效的应急联系电话等，并及时更新</w:t>
            </w:r>
          </w:p>
        </w:tc>
        <w:tc>
          <w:tcPr>
            <w:tcW w:w="2543" w:type="dxa"/>
            <w:tcMar>
              <w:left w:w="45" w:type="dxa"/>
              <w:right w:w="45" w:type="dxa"/>
            </w:tcMar>
            <w:vAlign w:val="center"/>
          </w:tcPr>
          <w:p w14:paraId="5EFDA6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36F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05FB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6.1.2</w:t>
            </w:r>
          </w:p>
        </w:tc>
        <w:tc>
          <w:tcPr>
            <w:tcW w:w="3703" w:type="dxa"/>
            <w:tcMar>
              <w:left w:w="45" w:type="dxa"/>
              <w:right w:w="45" w:type="dxa"/>
            </w:tcMar>
            <w:vAlign w:val="center"/>
          </w:tcPr>
          <w:p w14:paraId="230107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实验场所应具备合理的安全空间布局</w:t>
            </w:r>
          </w:p>
        </w:tc>
        <w:tc>
          <w:tcPr>
            <w:tcW w:w="7777" w:type="dxa"/>
            <w:tcMar>
              <w:left w:w="45" w:type="dxa"/>
              <w:right w:w="45" w:type="dxa"/>
            </w:tcMar>
            <w:vAlign w:val="center"/>
          </w:tcPr>
          <w:p w14:paraId="0A67A9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（48）超过200m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的实验楼层具有至少两处安全出口，75m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以上实验室要有两个出入口。</w:t>
            </w:r>
          </w:p>
          <w:p w14:paraId="7CCD02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（49）实验楼大走廊保证留有大于1.5m净宽的消防通道。</w:t>
            </w:r>
          </w:p>
          <w:p w14:paraId="6EA379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（50）实验室操作区层高不低于2m。</w:t>
            </w:r>
          </w:p>
          <w:p w14:paraId="19F0F1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vertAlign w:val="superscript"/>
              </w:rPr>
            </w:pPr>
            <w:r>
              <w:rPr>
                <w:rFonts w:hint="default" w:ascii="Times New Roman" w:hAnsi="Times New Roman" w:eastAsia="仿宋_GB2312" w:cs="Times New Roman"/>
                <w:color w:val="auto"/>
                <w:szCs w:val="21"/>
              </w:rPr>
              <w:t>（51）理工农医类实验室内多人同时进行实验时，人均操作面积不小于2.5m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340D9B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95E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D3DA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6.1.3</w:t>
            </w:r>
          </w:p>
        </w:tc>
        <w:tc>
          <w:tcPr>
            <w:tcW w:w="3703" w:type="dxa"/>
            <w:tcMar>
              <w:left w:w="45" w:type="dxa"/>
              <w:right w:w="45" w:type="dxa"/>
            </w:tcMar>
            <w:vAlign w:val="center"/>
          </w:tcPr>
          <w:p w14:paraId="1CFBB9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消防通道通畅</w:t>
            </w:r>
          </w:p>
        </w:tc>
        <w:tc>
          <w:tcPr>
            <w:tcW w:w="7777" w:type="dxa"/>
            <w:tcMar>
              <w:left w:w="45" w:type="dxa"/>
              <w:right w:w="45" w:type="dxa"/>
            </w:tcMar>
            <w:vAlign w:val="center"/>
          </w:tcPr>
          <w:p w14:paraId="392518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szCs w:val="21"/>
              </w:rPr>
              <w:t>（52）保持实验室消防通道通畅</w:t>
            </w:r>
            <w:r>
              <w:rPr>
                <w:rFonts w:hint="default" w:ascii="Times New Roman" w:hAnsi="Times New Roman" w:eastAsia="仿宋_GB2312" w:cs="Times New Roman"/>
                <w:color w:val="auto"/>
                <w:szCs w:val="21"/>
              </w:rPr>
              <w:t>，公共区域不堆放仪器和物品</w:t>
            </w:r>
          </w:p>
        </w:tc>
        <w:tc>
          <w:tcPr>
            <w:tcW w:w="2543" w:type="dxa"/>
            <w:tcMar>
              <w:left w:w="45" w:type="dxa"/>
              <w:right w:w="45" w:type="dxa"/>
            </w:tcMar>
            <w:vAlign w:val="center"/>
          </w:tcPr>
          <w:p w14:paraId="2A6102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73C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4F62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6.1.4</w:t>
            </w:r>
          </w:p>
        </w:tc>
        <w:tc>
          <w:tcPr>
            <w:tcW w:w="3703" w:type="dxa"/>
            <w:tcMar>
              <w:left w:w="45" w:type="dxa"/>
              <w:right w:w="45" w:type="dxa"/>
            </w:tcMar>
            <w:vAlign w:val="center"/>
          </w:tcPr>
          <w:p w14:paraId="26CCE3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实验室建设和装修应符合消防安全要求</w:t>
            </w:r>
          </w:p>
        </w:tc>
        <w:tc>
          <w:tcPr>
            <w:tcW w:w="7777" w:type="dxa"/>
            <w:tcMar>
              <w:left w:w="45" w:type="dxa"/>
              <w:right w:w="45" w:type="dxa"/>
            </w:tcMar>
            <w:vAlign w:val="center"/>
          </w:tcPr>
          <w:p w14:paraId="60921E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（53）实验操作台应选用合格的防火、耐腐蚀材料。</w:t>
            </w:r>
          </w:p>
          <w:p w14:paraId="0771C0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（54）仪器设备安装符合建筑物承重荷载要求。</w:t>
            </w:r>
          </w:p>
          <w:p w14:paraId="78F48B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（55）有可燃气体的实验室不设吊顶。</w:t>
            </w:r>
          </w:p>
          <w:p w14:paraId="500CAC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（56）不用的配电箱、插座、水管水龙头、网线、气体管路等，应及时拆除或封闭。</w:t>
            </w:r>
          </w:p>
          <w:p w14:paraId="436338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（57）实验室门上有观察窗，外开门不阻挡逃生路径</w:t>
            </w:r>
          </w:p>
        </w:tc>
        <w:tc>
          <w:tcPr>
            <w:tcW w:w="2543" w:type="dxa"/>
            <w:tcMar>
              <w:left w:w="45" w:type="dxa"/>
              <w:right w:w="45" w:type="dxa"/>
            </w:tcMar>
            <w:vAlign w:val="center"/>
          </w:tcPr>
          <w:p w14:paraId="19640C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6E4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FC51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6.1.5</w:t>
            </w:r>
          </w:p>
        </w:tc>
        <w:tc>
          <w:tcPr>
            <w:tcW w:w="3703" w:type="dxa"/>
            <w:tcMar>
              <w:left w:w="45" w:type="dxa"/>
              <w:right w:w="45" w:type="dxa"/>
            </w:tcMar>
            <w:vAlign w:val="center"/>
          </w:tcPr>
          <w:p w14:paraId="08EADD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实验室所有房间均须配有应急备用钥匙</w:t>
            </w:r>
          </w:p>
        </w:tc>
        <w:tc>
          <w:tcPr>
            <w:tcW w:w="7777" w:type="dxa"/>
            <w:tcMar>
              <w:left w:w="45" w:type="dxa"/>
              <w:right w:w="45" w:type="dxa"/>
            </w:tcMar>
            <w:vAlign w:val="center"/>
          </w:tcPr>
          <w:p w14:paraId="161DF1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（58）应急备用钥匙须集中存放、统一管理，应急时方便取用</w:t>
            </w:r>
          </w:p>
        </w:tc>
        <w:tc>
          <w:tcPr>
            <w:tcW w:w="2543" w:type="dxa"/>
            <w:tcMar>
              <w:left w:w="45" w:type="dxa"/>
              <w:right w:w="45" w:type="dxa"/>
            </w:tcMar>
            <w:vAlign w:val="center"/>
          </w:tcPr>
          <w:p w14:paraId="7F5E40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24D1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6C1A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6.1.6</w:t>
            </w:r>
          </w:p>
        </w:tc>
        <w:tc>
          <w:tcPr>
            <w:tcW w:w="3703" w:type="dxa"/>
            <w:tcMar>
              <w:left w:w="45" w:type="dxa"/>
              <w:right w:w="45" w:type="dxa"/>
            </w:tcMar>
            <w:vAlign w:val="center"/>
          </w:tcPr>
          <w:p w14:paraId="622C1E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实验设备须做好振动减振、电磁屏蔽和降噪</w:t>
            </w:r>
          </w:p>
        </w:tc>
        <w:tc>
          <w:tcPr>
            <w:tcW w:w="7777" w:type="dxa"/>
            <w:tcMar>
              <w:left w:w="45" w:type="dxa"/>
              <w:right w:w="45" w:type="dxa"/>
            </w:tcMar>
            <w:vAlign w:val="center"/>
          </w:tcPr>
          <w:p w14:paraId="5D249F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（59）容易产生振动的设备，须考虑采取合理的减振措施。</w:t>
            </w:r>
          </w:p>
          <w:p w14:paraId="4233A8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（60）易对外产生磁场或易受磁场干扰的设备，须做好磁屏蔽。</w:t>
            </w:r>
          </w:p>
          <w:p w14:paraId="4FD194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（61）实验室噪声一般不高于55分贝（机械设备不高于70分贝）</w:t>
            </w:r>
          </w:p>
        </w:tc>
        <w:tc>
          <w:tcPr>
            <w:tcW w:w="2543" w:type="dxa"/>
            <w:tcMar>
              <w:left w:w="45" w:type="dxa"/>
              <w:right w:w="45" w:type="dxa"/>
            </w:tcMar>
            <w:vAlign w:val="center"/>
          </w:tcPr>
          <w:p w14:paraId="783532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047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2121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6.1.7</w:t>
            </w:r>
          </w:p>
        </w:tc>
        <w:tc>
          <w:tcPr>
            <w:tcW w:w="3703" w:type="dxa"/>
            <w:tcMar>
              <w:left w:w="45" w:type="dxa"/>
              <w:right w:w="45" w:type="dxa"/>
            </w:tcMar>
            <w:vAlign w:val="center"/>
          </w:tcPr>
          <w:p w14:paraId="41645D7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实验室水、电、气管线布局合理，安装施工规范</w:t>
            </w:r>
          </w:p>
        </w:tc>
        <w:tc>
          <w:tcPr>
            <w:tcW w:w="7777" w:type="dxa"/>
            <w:tcMar>
              <w:left w:w="45" w:type="dxa"/>
              <w:right w:w="45" w:type="dxa"/>
            </w:tcMar>
            <w:vAlign w:val="center"/>
          </w:tcPr>
          <w:p w14:paraId="51BA00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（62）水、电、气管线布局先规划、后施工，充分考虑安全性、功能性、可维护性和扩展性。</w:t>
            </w:r>
          </w:p>
          <w:p w14:paraId="1DBA73B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（63）</w:t>
            </w:r>
            <w:r>
              <w:rPr>
                <w:rFonts w:hint="default" w:ascii="Times New Roman" w:hAnsi="Times New Roman" w:eastAsia="仿宋_GB2312" w:cs="Times New Roman"/>
                <w:color w:val="auto"/>
                <w:szCs w:val="21"/>
              </w:rPr>
              <w:t>高温、明火设备放置位置与气体管道有安全间隔距离。</w:t>
            </w:r>
          </w:p>
          <w:p w14:paraId="7D9BEF2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（64）</w:t>
            </w:r>
            <w:r>
              <w:rPr>
                <w:rFonts w:hint="default" w:ascii="Times New Roman" w:hAnsi="Times New Roman" w:eastAsia="仿宋_GB2312" w:cs="Times New Roman"/>
                <w:b/>
                <w:bCs/>
                <w:color w:val="auto"/>
                <w:szCs w:val="21"/>
              </w:rPr>
              <w:t>实验室改造工程应经过审批后实施</w:t>
            </w:r>
          </w:p>
        </w:tc>
        <w:tc>
          <w:tcPr>
            <w:tcW w:w="2543" w:type="dxa"/>
            <w:tcMar>
              <w:left w:w="45" w:type="dxa"/>
              <w:right w:w="45" w:type="dxa"/>
            </w:tcMar>
            <w:vAlign w:val="center"/>
          </w:tcPr>
          <w:p w14:paraId="69DF4F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C0A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04F6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6.2</w:t>
            </w:r>
          </w:p>
        </w:tc>
        <w:tc>
          <w:tcPr>
            <w:tcW w:w="14023" w:type="dxa"/>
            <w:gridSpan w:val="3"/>
            <w:tcMar>
              <w:left w:w="45" w:type="dxa"/>
              <w:right w:w="45" w:type="dxa"/>
            </w:tcMar>
            <w:vAlign w:val="center"/>
          </w:tcPr>
          <w:p w14:paraId="5FE7D3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卫生与日常管理</w:t>
            </w:r>
          </w:p>
        </w:tc>
      </w:tr>
      <w:tr w14:paraId="3631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6183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6.2.1</w:t>
            </w:r>
          </w:p>
        </w:tc>
        <w:tc>
          <w:tcPr>
            <w:tcW w:w="3703" w:type="dxa"/>
            <w:tcMar>
              <w:left w:w="45" w:type="dxa"/>
              <w:right w:w="45" w:type="dxa"/>
            </w:tcMar>
            <w:vAlign w:val="center"/>
          </w:tcPr>
          <w:p w14:paraId="3E3250B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实验室分区应相对独立，布局合理</w:t>
            </w:r>
          </w:p>
        </w:tc>
        <w:tc>
          <w:tcPr>
            <w:tcW w:w="7777" w:type="dxa"/>
            <w:tcMar>
              <w:left w:w="45" w:type="dxa"/>
              <w:right w:w="45" w:type="dxa"/>
            </w:tcMar>
            <w:vAlign w:val="center"/>
          </w:tcPr>
          <w:p w14:paraId="7707A7B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（65）有毒有害实验区与学习区明确分开，合理布局，重点关注化学、生物、辐射、激光等类别实验室。如部分区域分区不明显，现场查看有毒有害物质的管理须对工作环境无健康危害。</w:t>
            </w:r>
          </w:p>
        </w:tc>
        <w:tc>
          <w:tcPr>
            <w:tcW w:w="2543" w:type="dxa"/>
            <w:tcMar>
              <w:left w:w="45" w:type="dxa"/>
              <w:right w:w="45" w:type="dxa"/>
            </w:tcMar>
            <w:vAlign w:val="center"/>
          </w:tcPr>
          <w:p w14:paraId="5510BD1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016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F0081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6.2.2</w:t>
            </w:r>
          </w:p>
        </w:tc>
        <w:tc>
          <w:tcPr>
            <w:tcW w:w="3703" w:type="dxa"/>
            <w:tcMar>
              <w:left w:w="45" w:type="dxa"/>
              <w:right w:w="45" w:type="dxa"/>
            </w:tcMar>
            <w:vAlign w:val="center"/>
          </w:tcPr>
          <w:p w14:paraId="4F2E23F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实验室环境应整洁卫生有序</w:t>
            </w:r>
          </w:p>
        </w:tc>
        <w:tc>
          <w:tcPr>
            <w:tcW w:w="7777" w:type="dxa"/>
            <w:tcMar>
              <w:left w:w="45" w:type="dxa"/>
              <w:right w:w="45" w:type="dxa"/>
            </w:tcMar>
            <w:vAlign w:val="center"/>
          </w:tcPr>
          <w:p w14:paraId="5C93015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（66）实验室物品摆放有序，卫生状况良好，实验完毕物品归位，无废弃物品、不放无关物品。</w:t>
            </w:r>
          </w:p>
          <w:p w14:paraId="1F8C4C2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（67）</w:t>
            </w:r>
            <w:r>
              <w:rPr>
                <w:rFonts w:hint="default" w:ascii="Times New Roman" w:hAnsi="Times New Roman" w:eastAsia="仿宋_GB2312" w:cs="Times New Roman"/>
                <w:color w:val="auto"/>
                <w:kern w:val="0"/>
                <w:szCs w:val="21"/>
              </w:rPr>
              <w:t>不在实验室睡觉，不存放和烧煮食物、饮食，禁止吸烟，不使用可燃性蚊香</w:t>
            </w:r>
          </w:p>
        </w:tc>
        <w:tc>
          <w:tcPr>
            <w:tcW w:w="2543" w:type="dxa"/>
            <w:tcMar>
              <w:left w:w="45" w:type="dxa"/>
              <w:right w:w="45" w:type="dxa"/>
            </w:tcMar>
            <w:vAlign w:val="center"/>
          </w:tcPr>
          <w:p w14:paraId="52F4505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5714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3F97C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6.2.3</w:t>
            </w:r>
          </w:p>
        </w:tc>
        <w:tc>
          <w:tcPr>
            <w:tcW w:w="3703" w:type="dxa"/>
            <w:tcMar>
              <w:left w:w="45" w:type="dxa"/>
              <w:right w:w="45" w:type="dxa"/>
            </w:tcMar>
            <w:vAlign w:val="center"/>
          </w:tcPr>
          <w:p w14:paraId="2EA9BEF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实验室有卫生安全制度</w:t>
            </w:r>
          </w:p>
        </w:tc>
        <w:tc>
          <w:tcPr>
            <w:tcW w:w="7777" w:type="dxa"/>
            <w:tcMar>
              <w:left w:w="45" w:type="dxa"/>
              <w:right w:w="45" w:type="dxa"/>
            </w:tcMar>
            <w:vAlign w:val="center"/>
          </w:tcPr>
          <w:p w14:paraId="2E68675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kern w:val="0"/>
                <w:szCs w:val="21"/>
              </w:rPr>
              <w:t>（68）实验期间有记录</w:t>
            </w:r>
          </w:p>
        </w:tc>
        <w:tc>
          <w:tcPr>
            <w:tcW w:w="2543" w:type="dxa"/>
            <w:tcMar>
              <w:left w:w="45" w:type="dxa"/>
              <w:right w:w="45" w:type="dxa"/>
            </w:tcMar>
            <w:vAlign w:val="center"/>
          </w:tcPr>
          <w:p w14:paraId="32D6301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1C24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D9B8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6.3</w:t>
            </w:r>
          </w:p>
        </w:tc>
        <w:tc>
          <w:tcPr>
            <w:tcW w:w="14023" w:type="dxa"/>
            <w:gridSpan w:val="3"/>
            <w:tcMar>
              <w:left w:w="45" w:type="dxa"/>
              <w:right w:w="45" w:type="dxa"/>
            </w:tcMar>
            <w:vAlign w:val="center"/>
          </w:tcPr>
          <w:p w14:paraId="4A40DE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场所其他安全</w:t>
            </w:r>
          </w:p>
        </w:tc>
      </w:tr>
      <w:tr w14:paraId="403B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986B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6.3.1</w:t>
            </w:r>
          </w:p>
        </w:tc>
        <w:tc>
          <w:tcPr>
            <w:tcW w:w="3703" w:type="dxa"/>
            <w:tcMar>
              <w:left w:w="45" w:type="dxa"/>
              <w:right w:w="45" w:type="dxa"/>
            </w:tcMar>
            <w:vAlign w:val="center"/>
          </w:tcPr>
          <w:p w14:paraId="3212675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rPr>
              <w:t>每间实验室均有编号并登记造册</w:t>
            </w:r>
          </w:p>
        </w:tc>
        <w:tc>
          <w:tcPr>
            <w:tcW w:w="7777" w:type="dxa"/>
            <w:tcMar>
              <w:left w:w="45" w:type="dxa"/>
              <w:right w:w="45" w:type="dxa"/>
            </w:tcMar>
            <w:vAlign w:val="center"/>
          </w:tcPr>
          <w:p w14:paraId="6AC1CB2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（69）现场查看门牌，查阅档案</w:t>
            </w:r>
          </w:p>
        </w:tc>
        <w:tc>
          <w:tcPr>
            <w:tcW w:w="2543" w:type="dxa"/>
            <w:tcMar>
              <w:left w:w="45" w:type="dxa"/>
              <w:right w:w="45" w:type="dxa"/>
            </w:tcMar>
            <w:vAlign w:val="center"/>
          </w:tcPr>
          <w:p w14:paraId="597576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43B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1A344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6.3.2</w:t>
            </w:r>
          </w:p>
        </w:tc>
        <w:tc>
          <w:tcPr>
            <w:tcW w:w="3703" w:type="dxa"/>
            <w:tcMar>
              <w:left w:w="45" w:type="dxa"/>
              <w:right w:w="45" w:type="dxa"/>
            </w:tcMar>
            <w:vAlign w:val="center"/>
          </w:tcPr>
          <w:p w14:paraId="436A596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危险性实验室应配备急救物品</w:t>
            </w:r>
          </w:p>
        </w:tc>
        <w:tc>
          <w:tcPr>
            <w:tcW w:w="7777" w:type="dxa"/>
            <w:tcMar>
              <w:left w:w="45" w:type="dxa"/>
              <w:right w:w="45" w:type="dxa"/>
            </w:tcMar>
            <w:vAlign w:val="center"/>
          </w:tcPr>
          <w:p w14:paraId="01D6F67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（70）配备的急救箱不得上锁，并定期检查物品是否在保质期内</w:t>
            </w:r>
          </w:p>
        </w:tc>
        <w:tc>
          <w:tcPr>
            <w:tcW w:w="2543" w:type="dxa"/>
            <w:tcMar>
              <w:left w:w="45" w:type="dxa"/>
              <w:right w:w="45" w:type="dxa"/>
            </w:tcMar>
            <w:vAlign w:val="center"/>
          </w:tcPr>
          <w:p w14:paraId="441D41C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F35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4A9BC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6.3.3</w:t>
            </w:r>
          </w:p>
        </w:tc>
        <w:tc>
          <w:tcPr>
            <w:tcW w:w="3703" w:type="dxa"/>
            <w:tcMar>
              <w:left w:w="45" w:type="dxa"/>
              <w:right w:w="45" w:type="dxa"/>
            </w:tcMar>
            <w:vAlign w:val="center"/>
          </w:tcPr>
          <w:p w14:paraId="093CE54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停用的实验室有安全防范措施和明显标识</w:t>
            </w:r>
          </w:p>
        </w:tc>
        <w:tc>
          <w:tcPr>
            <w:tcW w:w="7777" w:type="dxa"/>
            <w:tcMar>
              <w:left w:w="45" w:type="dxa"/>
              <w:right w:w="45" w:type="dxa"/>
            </w:tcMar>
            <w:vAlign w:val="center"/>
          </w:tcPr>
          <w:p w14:paraId="23125EA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（71）查看现场</w:t>
            </w:r>
          </w:p>
        </w:tc>
        <w:tc>
          <w:tcPr>
            <w:tcW w:w="2543" w:type="dxa"/>
            <w:tcMar>
              <w:left w:w="45" w:type="dxa"/>
              <w:right w:w="45" w:type="dxa"/>
            </w:tcMar>
            <w:vAlign w:val="center"/>
          </w:tcPr>
          <w:p w14:paraId="61DFD54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1DC7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620F0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w:t>
            </w:r>
          </w:p>
        </w:tc>
        <w:tc>
          <w:tcPr>
            <w:tcW w:w="14023" w:type="dxa"/>
            <w:gridSpan w:val="3"/>
            <w:tcMar>
              <w:left w:w="45" w:type="dxa"/>
              <w:right w:w="45" w:type="dxa"/>
            </w:tcMar>
            <w:vAlign w:val="center"/>
          </w:tcPr>
          <w:p w14:paraId="27DB9A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安全设施</w:t>
            </w:r>
          </w:p>
        </w:tc>
      </w:tr>
      <w:tr w14:paraId="4834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844ED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7.1</w:t>
            </w:r>
          </w:p>
        </w:tc>
        <w:tc>
          <w:tcPr>
            <w:tcW w:w="14023" w:type="dxa"/>
            <w:gridSpan w:val="3"/>
            <w:tcMar>
              <w:left w:w="45" w:type="dxa"/>
              <w:right w:w="45" w:type="dxa"/>
            </w:tcMar>
            <w:vAlign w:val="center"/>
          </w:tcPr>
          <w:p w14:paraId="2BFCBD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消防设施</w:t>
            </w:r>
          </w:p>
        </w:tc>
      </w:tr>
      <w:tr w14:paraId="4444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5A3AF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7.1.1</w:t>
            </w:r>
          </w:p>
        </w:tc>
        <w:tc>
          <w:tcPr>
            <w:tcW w:w="3703" w:type="dxa"/>
            <w:tcMar>
              <w:left w:w="45" w:type="dxa"/>
              <w:right w:w="45" w:type="dxa"/>
            </w:tcMar>
            <w:vAlign w:val="center"/>
          </w:tcPr>
          <w:p w14:paraId="6F7DA3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实验室应配备合适的灭火设备，并定期开展使用训练</w:t>
            </w:r>
          </w:p>
        </w:tc>
        <w:tc>
          <w:tcPr>
            <w:tcW w:w="7777" w:type="dxa"/>
            <w:tcMar>
              <w:left w:w="45" w:type="dxa"/>
              <w:right w:w="45" w:type="dxa"/>
            </w:tcMar>
            <w:vAlign w:val="center"/>
          </w:tcPr>
          <w:p w14:paraId="75F7CB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（72）烟感报警器、灭火器、灭火毯、消防砂、消防喷淋等，应正常有效、方便取用。</w:t>
            </w:r>
          </w:p>
          <w:p w14:paraId="1A773F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（73）灭火器种类配置正确，且在有效期内（压力指针位置正常等），保险销正常，瓶身无破损、腐蚀</w:t>
            </w:r>
          </w:p>
        </w:tc>
        <w:tc>
          <w:tcPr>
            <w:tcW w:w="2543" w:type="dxa"/>
            <w:tcMar>
              <w:left w:w="45" w:type="dxa"/>
              <w:right w:w="45" w:type="dxa"/>
            </w:tcMar>
            <w:vAlign w:val="center"/>
          </w:tcPr>
          <w:p w14:paraId="1B10CC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B1B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B7CE2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7.1.2</w:t>
            </w:r>
          </w:p>
        </w:tc>
        <w:tc>
          <w:tcPr>
            <w:tcW w:w="3703" w:type="dxa"/>
            <w:tcMar>
              <w:left w:w="45" w:type="dxa"/>
              <w:right w:w="45" w:type="dxa"/>
            </w:tcMar>
            <w:vAlign w:val="center"/>
          </w:tcPr>
          <w:p w14:paraId="36583A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紧急逃生疏散路线通畅</w:t>
            </w:r>
          </w:p>
        </w:tc>
        <w:tc>
          <w:tcPr>
            <w:tcW w:w="7777" w:type="dxa"/>
            <w:tcMar>
              <w:left w:w="45" w:type="dxa"/>
              <w:right w:w="45" w:type="dxa"/>
            </w:tcMar>
            <w:vAlign w:val="center"/>
          </w:tcPr>
          <w:p w14:paraId="226F947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（74）在显著位置张贴有紧急逃生疏散路线图，疏散路线图的逃生路线应有二条（含）以上，路线与现场情况符合。</w:t>
            </w:r>
          </w:p>
          <w:p w14:paraId="5E09B62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（75）主要逃生路径（室内、楼梯、通道和出口处）有足够的紧急照明灯，功能正常</w:t>
            </w:r>
            <w:r>
              <w:rPr>
                <w:rFonts w:hint="default" w:ascii="Times New Roman" w:hAnsi="Times New Roman" w:eastAsia="仿宋_GB2312" w:cs="Times New Roman"/>
                <w:color w:val="auto"/>
                <w:kern w:val="0"/>
              </w:rPr>
              <w:t>，并设置有效标志指示逃生方向。</w:t>
            </w:r>
          </w:p>
          <w:p w14:paraId="7BF358B9">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（76）</w:t>
            </w:r>
            <w:r>
              <w:rPr>
                <w:rFonts w:hint="default" w:ascii="Times New Roman" w:hAnsi="Times New Roman" w:eastAsia="仿宋_GB2312" w:cs="Times New Roman"/>
                <w:color w:val="auto"/>
                <w:kern w:val="0"/>
                <w:szCs w:val="21"/>
              </w:rPr>
              <w:t>人员应熟悉紧急疏散路线及火场逃生注意事项（现场调查人员熟悉程度）</w:t>
            </w:r>
          </w:p>
        </w:tc>
        <w:tc>
          <w:tcPr>
            <w:tcW w:w="2543" w:type="dxa"/>
            <w:tcMar>
              <w:left w:w="45" w:type="dxa"/>
              <w:right w:w="45" w:type="dxa"/>
            </w:tcMar>
            <w:vAlign w:val="center"/>
          </w:tcPr>
          <w:p w14:paraId="688E4B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CAD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993A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7.2</w:t>
            </w:r>
          </w:p>
        </w:tc>
        <w:tc>
          <w:tcPr>
            <w:tcW w:w="14023" w:type="dxa"/>
            <w:gridSpan w:val="3"/>
            <w:tcMar>
              <w:left w:w="45" w:type="dxa"/>
              <w:right w:w="45" w:type="dxa"/>
            </w:tcMar>
            <w:vAlign w:val="center"/>
          </w:tcPr>
          <w:p w14:paraId="29D3B7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应急喷淋与洗眼装置</w:t>
            </w:r>
          </w:p>
        </w:tc>
      </w:tr>
      <w:tr w14:paraId="131A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1421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7.2.1</w:t>
            </w:r>
          </w:p>
        </w:tc>
        <w:tc>
          <w:tcPr>
            <w:tcW w:w="3703" w:type="dxa"/>
            <w:tcMar>
              <w:left w:w="45" w:type="dxa"/>
              <w:right w:w="45" w:type="dxa"/>
            </w:tcMar>
            <w:vAlign w:val="center"/>
          </w:tcPr>
          <w:p w14:paraId="523A6B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存在燃烧、腐蚀等风险的实验区域，须配置应急喷淋和洗眼装置</w:t>
            </w:r>
          </w:p>
        </w:tc>
        <w:tc>
          <w:tcPr>
            <w:tcW w:w="7777" w:type="dxa"/>
            <w:tcMar>
              <w:left w:w="45" w:type="dxa"/>
              <w:right w:w="45" w:type="dxa"/>
            </w:tcMar>
            <w:vAlign w:val="center"/>
          </w:tcPr>
          <w:p w14:paraId="39190E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（77）应急喷淋和洗眼装置的区域有显著标志</w:t>
            </w:r>
          </w:p>
        </w:tc>
        <w:tc>
          <w:tcPr>
            <w:tcW w:w="2543" w:type="dxa"/>
            <w:tcMar>
              <w:left w:w="45" w:type="dxa"/>
              <w:right w:w="45" w:type="dxa"/>
            </w:tcMar>
            <w:vAlign w:val="center"/>
          </w:tcPr>
          <w:p w14:paraId="0BC935A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35CE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030D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7.2.2</w:t>
            </w:r>
          </w:p>
        </w:tc>
        <w:tc>
          <w:tcPr>
            <w:tcW w:w="3703" w:type="dxa"/>
            <w:tcMar>
              <w:left w:w="45" w:type="dxa"/>
              <w:right w:w="45" w:type="dxa"/>
            </w:tcMar>
            <w:vAlign w:val="center"/>
          </w:tcPr>
          <w:p w14:paraId="3D13A1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应急喷淋与洗眼装置安装合理，并能正常使用</w:t>
            </w:r>
          </w:p>
        </w:tc>
        <w:tc>
          <w:tcPr>
            <w:tcW w:w="7777" w:type="dxa"/>
            <w:tcMar>
              <w:left w:w="45" w:type="dxa"/>
              <w:right w:w="45" w:type="dxa"/>
            </w:tcMar>
            <w:vAlign w:val="center"/>
          </w:tcPr>
          <w:p w14:paraId="30C150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（78）应急喷淋安装地点与工作区域之间畅通，距离不超过30m。应急喷淋安装位置合适，拉杆位置合适、方向正确。应急喷淋装置水管总阀为常开状态，喷淋头下方410mm范围内无障碍物。</w:t>
            </w:r>
          </w:p>
          <w:p w14:paraId="549942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（79）不能以普通淋浴装置代替应急喷淋装置。</w:t>
            </w:r>
          </w:p>
          <w:p w14:paraId="5045D7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（80）洗眼装置接入生活用水管道，应至少以1.5L/min的流量供水，水压适中，</w:t>
            </w:r>
            <w:r>
              <w:rPr>
                <w:rFonts w:hint="default" w:ascii="Times New Roman" w:hAnsi="Times New Roman" w:eastAsia="仿宋_GB2312" w:cs="Times New Roman"/>
                <w:bCs/>
                <w:color w:val="auto"/>
                <w:kern w:val="0"/>
                <w:szCs w:val="21"/>
              </w:rPr>
              <w:t>水流畅通平稳</w:t>
            </w:r>
          </w:p>
        </w:tc>
        <w:tc>
          <w:tcPr>
            <w:tcW w:w="2543" w:type="dxa"/>
            <w:tcMar>
              <w:left w:w="45" w:type="dxa"/>
              <w:right w:w="45" w:type="dxa"/>
            </w:tcMar>
            <w:vAlign w:val="center"/>
          </w:tcPr>
          <w:p w14:paraId="3C65DD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83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098D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7.2.3</w:t>
            </w:r>
          </w:p>
        </w:tc>
        <w:tc>
          <w:tcPr>
            <w:tcW w:w="3703" w:type="dxa"/>
            <w:tcMar>
              <w:left w:w="45" w:type="dxa"/>
              <w:right w:w="45" w:type="dxa"/>
            </w:tcMar>
            <w:vAlign w:val="center"/>
          </w:tcPr>
          <w:p w14:paraId="5100CE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定期对应急喷淋与洗眼装置进行维护</w:t>
            </w:r>
          </w:p>
        </w:tc>
        <w:tc>
          <w:tcPr>
            <w:tcW w:w="7777" w:type="dxa"/>
            <w:tcMar>
              <w:left w:w="45" w:type="dxa"/>
              <w:right w:w="45" w:type="dxa"/>
            </w:tcMar>
            <w:vAlign w:val="center"/>
          </w:tcPr>
          <w:p w14:paraId="09259A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（81）经常对应急喷淋与洗眼装置进行维护，无锈水、脏水，有检查记录</w:t>
            </w:r>
          </w:p>
        </w:tc>
        <w:tc>
          <w:tcPr>
            <w:tcW w:w="2543" w:type="dxa"/>
            <w:tcMar>
              <w:left w:w="45" w:type="dxa"/>
              <w:right w:w="45" w:type="dxa"/>
            </w:tcMar>
            <w:vAlign w:val="center"/>
          </w:tcPr>
          <w:p w14:paraId="56B335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A25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00AB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7.3</w:t>
            </w:r>
          </w:p>
        </w:tc>
        <w:tc>
          <w:tcPr>
            <w:tcW w:w="14023" w:type="dxa"/>
            <w:gridSpan w:val="3"/>
            <w:tcMar>
              <w:left w:w="45" w:type="dxa"/>
              <w:right w:w="45" w:type="dxa"/>
            </w:tcMar>
            <w:vAlign w:val="center"/>
          </w:tcPr>
          <w:p w14:paraId="5096D36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通风系统</w:t>
            </w:r>
          </w:p>
        </w:tc>
      </w:tr>
      <w:tr w14:paraId="1D60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7EF98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7.3.1</w:t>
            </w:r>
          </w:p>
        </w:tc>
        <w:tc>
          <w:tcPr>
            <w:tcW w:w="3703" w:type="dxa"/>
            <w:tcMar>
              <w:left w:w="45" w:type="dxa"/>
              <w:right w:w="45" w:type="dxa"/>
            </w:tcMar>
            <w:vAlign w:val="center"/>
          </w:tcPr>
          <w:p w14:paraId="4CB55A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有需要的实验场所配备符合设计规范的通风系统</w:t>
            </w:r>
          </w:p>
        </w:tc>
        <w:tc>
          <w:tcPr>
            <w:tcW w:w="7777" w:type="dxa"/>
            <w:tcMar>
              <w:left w:w="45" w:type="dxa"/>
              <w:right w:w="45" w:type="dxa"/>
            </w:tcMar>
            <w:vAlign w:val="center"/>
          </w:tcPr>
          <w:p w14:paraId="41F5D1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（82）管道和风机须防腐，使用可燃气体的场所宜采用防爆风机。</w:t>
            </w:r>
          </w:p>
          <w:p w14:paraId="4F5109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（83）</w:t>
            </w:r>
            <w:r>
              <w:rPr>
                <w:rFonts w:hint="default" w:ascii="Times New Roman" w:hAnsi="Times New Roman" w:eastAsia="仿宋_GB2312" w:cs="Times New Roman"/>
                <w:b/>
                <w:bCs/>
                <w:color w:val="auto"/>
                <w:kern w:val="0"/>
                <w:szCs w:val="21"/>
              </w:rPr>
              <w:t>实验室通风系统运行正常，</w:t>
            </w:r>
            <w:r>
              <w:rPr>
                <w:rFonts w:hint="default" w:ascii="Times New Roman" w:hAnsi="Times New Roman" w:eastAsia="仿宋_GB2312" w:cs="Times New Roman"/>
                <w:b/>
                <w:bCs/>
                <w:color w:val="auto"/>
                <w:szCs w:val="21"/>
              </w:rPr>
              <w:t>柜口面</w:t>
            </w:r>
            <w:r>
              <w:rPr>
                <w:rFonts w:hint="default" w:ascii="Times New Roman" w:hAnsi="Times New Roman" w:eastAsia="仿宋_GB2312" w:cs="Times New Roman"/>
                <w:b/>
                <w:bCs/>
                <w:color w:val="auto"/>
                <w:kern w:val="0"/>
                <w:szCs w:val="21"/>
              </w:rPr>
              <w:t>风速0.35~0.75m/s，定期进行维护、检修</w:t>
            </w:r>
            <w:r>
              <w:rPr>
                <w:rFonts w:hint="default" w:ascii="Times New Roman" w:hAnsi="Times New Roman" w:eastAsia="仿宋_GB2312" w:cs="Times New Roman"/>
                <w:color w:val="auto"/>
                <w:kern w:val="0"/>
                <w:szCs w:val="21"/>
              </w:rPr>
              <w:t>。</w:t>
            </w:r>
          </w:p>
          <w:p w14:paraId="0D742D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（84）屋顶风机固定无松动、无异常噪声</w:t>
            </w:r>
          </w:p>
        </w:tc>
        <w:tc>
          <w:tcPr>
            <w:tcW w:w="2543" w:type="dxa"/>
            <w:tcMar>
              <w:left w:w="45" w:type="dxa"/>
              <w:right w:w="45" w:type="dxa"/>
            </w:tcMar>
            <w:vAlign w:val="center"/>
          </w:tcPr>
          <w:p w14:paraId="436CF64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70F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FD15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7.3.2</w:t>
            </w:r>
          </w:p>
        </w:tc>
        <w:tc>
          <w:tcPr>
            <w:tcW w:w="3703" w:type="dxa"/>
            <w:tcMar>
              <w:left w:w="45" w:type="dxa"/>
              <w:right w:w="45" w:type="dxa"/>
            </w:tcMar>
            <w:vAlign w:val="center"/>
          </w:tcPr>
          <w:p w14:paraId="0D9505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通风柜配置合理、使用正常、操作合规</w:t>
            </w:r>
          </w:p>
        </w:tc>
        <w:tc>
          <w:tcPr>
            <w:tcW w:w="7777" w:type="dxa"/>
            <w:tcMar>
              <w:left w:w="45" w:type="dxa"/>
              <w:right w:w="45" w:type="dxa"/>
            </w:tcMar>
            <w:vAlign w:val="center"/>
          </w:tcPr>
          <w:p w14:paraId="00BAB1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（85）实验室排出的有害物质浓度超过国家现行标准规定的允许排放标准时，须采取净化措施，做到达标排放。</w:t>
            </w:r>
          </w:p>
          <w:p w14:paraId="2956F1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（86）任何可能产生有毒有害气体而导致个人曝露，或产生可燃、可爆炸气体或蒸气而导致积聚的实验，都须在通风柜内进行。</w:t>
            </w:r>
          </w:p>
          <w:p w14:paraId="3A09D2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（87）进行实验时，通风柜可调玻璃视窗开至离台面10</w:t>
            </w:r>
            <w:r>
              <w:rPr>
                <w:rFonts w:hint="default" w:ascii="Times New Roman" w:hAnsi="Times New Roman" w:eastAsia="仿宋_GB2312" w:cs="Times New Roman"/>
                <w:color w:val="auto"/>
              </w:rPr>
              <w:t xml:space="preserve"> </w:t>
            </w:r>
            <w:r>
              <w:rPr>
                <w:rFonts w:hint="default" w:ascii="Times New Roman" w:hAnsi="Times New Roman" w:eastAsia="仿宋_GB2312" w:cs="Times New Roman"/>
                <w:color w:val="auto"/>
                <w:kern w:val="0"/>
                <w:szCs w:val="21"/>
              </w:rPr>
              <w:t>~ 15cm，保持通风效果，并保护操作人员胸部以上部位。实验人员在通风柜进行实验时，避免将头伸入调节门内。不可将一次性手套或较轻的塑料袋等留在通风柜内，以免堵塞排风口。通风柜内放置的物品应距离调节门内侧15cm以上，以免掉落。不得将通风柜作为化学试剂存放场所。</w:t>
            </w:r>
            <w:r>
              <w:rPr>
                <w:rFonts w:hint="default" w:ascii="Times New Roman" w:hAnsi="Times New Roman" w:eastAsia="仿宋_GB2312" w:cs="Times New Roman"/>
                <w:bCs/>
                <w:color w:val="auto"/>
                <w:kern w:val="0"/>
                <w:szCs w:val="21"/>
              </w:rPr>
              <w:t>玻璃视窗材料应是钢化玻璃</w:t>
            </w:r>
          </w:p>
        </w:tc>
        <w:tc>
          <w:tcPr>
            <w:tcW w:w="2543" w:type="dxa"/>
            <w:tcMar>
              <w:left w:w="45" w:type="dxa"/>
              <w:right w:w="45" w:type="dxa"/>
            </w:tcMar>
            <w:vAlign w:val="center"/>
          </w:tcPr>
          <w:p w14:paraId="73EA24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E22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3188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7.4</w:t>
            </w:r>
          </w:p>
        </w:tc>
        <w:tc>
          <w:tcPr>
            <w:tcW w:w="14023" w:type="dxa"/>
            <w:gridSpan w:val="3"/>
            <w:tcMar>
              <w:left w:w="45" w:type="dxa"/>
              <w:right w:w="45" w:type="dxa"/>
            </w:tcMar>
            <w:vAlign w:val="center"/>
          </w:tcPr>
          <w:p w14:paraId="0CF158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门禁监控</w:t>
            </w:r>
          </w:p>
        </w:tc>
      </w:tr>
      <w:tr w14:paraId="66D6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8191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7.4.1</w:t>
            </w:r>
          </w:p>
        </w:tc>
        <w:tc>
          <w:tcPr>
            <w:tcW w:w="3703" w:type="dxa"/>
            <w:tcMar>
              <w:left w:w="45" w:type="dxa"/>
              <w:right w:w="45" w:type="dxa"/>
            </w:tcMar>
            <w:vAlign w:val="center"/>
          </w:tcPr>
          <w:p w14:paraId="2BFCBE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重点场所须安装门禁和监控设施，并有专人管理</w:t>
            </w:r>
          </w:p>
        </w:tc>
        <w:tc>
          <w:tcPr>
            <w:tcW w:w="7777" w:type="dxa"/>
            <w:tcMar>
              <w:left w:w="45" w:type="dxa"/>
              <w:right w:w="45" w:type="dxa"/>
            </w:tcMar>
            <w:vAlign w:val="center"/>
          </w:tcPr>
          <w:p w14:paraId="4B8ECF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（88）关注重点场所，如有剧毒品、病原微生物、放射源、核材料等危险源的地点</w:t>
            </w:r>
          </w:p>
        </w:tc>
        <w:tc>
          <w:tcPr>
            <w:tcW w:w="2543" w:type="dxa"/>
            <w:tcMar>
              <w:left w:w="45" w:type="dxa"/>
              <w:right w:w="45" w:type="dxa"/>
            </w:tcMar>
            <w:vAlign w:val="center"/>
          </w:tcPr>
          <w:p w14:paraId="156F0D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9B8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9AB80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7.4.2</w:t>
            </w:r>
          </w:p>
        </w:tc>
        <w:tc>
          <w:tcPr>
            <w:tcW w:w="3703" w:type="dxa"/>
            <w:tcMar>
              <w:left w:w="45" w:type="dxa"/>
              <w:right w:w="45" w:type="dxa"/>
            </w:tcMar>
            <w:vAlign w:val="center"/>
          </w:tcPr>
          <w:p w14:paraId="6C15B1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门禁和监控系统运转正常，与实验室准入制度相匹配</w:t>
            </w:r>
          </w:p>
        </w:tc>
        <w:tc>
          <w:tcPr>
            <w:tcW w:w="7777" w:type="dxa"/>
            <w:tcMar>
              <w:left w:w="45" w:type="dxa"/>
              <w:right w:w="45" w:type="dxa"/>
            </w:tcMar>
            <w:vAlign w:val="center"/>
          </w:tcPr>
          <w:p w14:paraId="10344A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（89）监控不留死角，图像清晰，人员出入记录可查，视频记录存储时间不少于30天。</w:t>
            </w:r>
          </w:p>
          <w:p w14:paraId="13F80EF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（90）停电时，电子门禁系统应是开启状态或者有备用机械钥匙</w:t>
            </w:r>
          </w:p>
        </w:tc>
        <w:tc>
          <w:tcPr>
            <w:tcW w:w="2543" w:type="dxa"/>
            <w:tcMar>
              <w:left w:w="45" w:type="dxa"/>
              <w:right w:w="45" w:type="dxa"/>
            </w:tcMar>
            <w:vAlign w:val="center"/>
          </w:tcPr>
          <w:p w14:paraId="3C2FC7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C09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6C5E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7.5</w:t>
            </w:r>
          </w:p>
        </w:tc>
        <w:tc>
          <w:tcPr>
            <w:tcW w:w="14023" w:type="dxa"/>
            <w:gridSpan w:val="3"/>
            <w:tcMar>
              <w:left w:w="45" w:type="dxa"/>
              <w:right w:w="45" w:type="dxa"/>
            </w:tcMar>
            <w:vAlign w:val="center"/>
          </w:tcPr>
          <w:p w14:paraId="390644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szCs w:val="21"/>
              </w:rPr>
              <w:t>实验室防爆</w:t>
            </w:r>
          </w:p>
        </w:tc>
      </w:tr>
      <w:tr w14:paraId="7F89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D447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7.5.1</w:t>
            </w:r>
          </w:p>
        </w:tc>
        <w:tc>
          <w:tcPr>
            <w:tcW w:w="3703" w:type="dxa"/>
            <w:tcMar>
              <w:left w:w="45" w:type="dxa"/>
              <w:right w:w="45" w:type="dxa"/>
            </w:tcMar>
            <w:vAlign w:val="center"/>
          </w:tcPr>
          <w:p w14:paraId="2CDC8D6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有防爆需求的实验室须符合防爆设计要求</w:t>
            </w:r>
          </w:p>
        </w:tc>
        <w:tc>
          <w:tcPr>
            <w:tcW w:w="7777" w:type="dxa"/>
            <w:tcMar>
              <w:left w:w="45" w:type="dxa"/>
              <w:right w:w="45" w:type="dxa"/>
            </w:tcMar>
            <w:vAlign w:val="center"/>
          </w:tcPr>
          <w:p w14:paraId="091EC6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（91）有防爆需求的实验室，应选用防爆型的电气设备。防爆灯、防爆电气开关、除尘装置、导线敷设等应达到整体防爆要求；安装必要的气体报警系统、监控系统、应急系统等。</w:t>
            </w:r>
          </w:p>
          <w:p w14:paraId="255256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（92）可燃气体管道，应科学选用和安装阻火器。</w:t>
            </w:r>
          </w:p>
          <w:p w14:paraId="52E9F2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（93）采取有效措施，避免或减少出现危险爆炸性环境，避免出现任何潜在的有效点燃源</w:t>
            </w:r>
          </w:p>
        </w:tc>
        <w:tc>
          <w:tcPr>
            <w:tcW w:w="2543" w:type="dxa"/>
            <w:tcMar>
              <w:left w:w="45" w:type="dxa"/>
              <w:right w:w="45" w:type="dxa"/>
            </w:tcMar>
            <w:vAlign w:val="center"/>
          </w:tcPr>
          <w:p w14:paraId="13C7DD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6A80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FBCEC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7.5.2</w:t>
            </w:r>
          </w:p>
        </w:tc>
        <w:tc>
          <w:tcPr>
            <w:tcW w:w="3703" w:type="dxa"/>
            <w:tcMar>
              <w:left w:w="45" w:type="dxa"/>
              <w:right w:w="45" w:type="dxa"/>
            </w:tcMar>
            <w:vAlign w:val="center"/>
          </w:tcPr>
          <w:p w14:paraId="14C16E1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应妥善防护具有爆炸危险性的仪器设备</w:t>
            </w:r>
          </w:p>
        </w:tc>
        <w:tc>
          <w:tcPr>
            <w:tcW w:w="7777" w:type="dxa"/>
            <w:tcMar>
              <w:left w:w="45" w:type="dxa"/>
              <w:right w:w="45" w:type="dxa"/>
            </w:tcMar>
            <w:vAlign w:val="center"/>
          </w:tcPr>
          <w:p w14:paraId="5CEB39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（94）使用适合的安全罩防护</w:t>
            </w:r>
          </w:p>
        </w:tc>
        <w:tc>
          <w:tcPr>
            <w:tcW w:w="2543" w:type="dxa"/>
            <w:tcMar>
              <w:left w:w="45" w:type="dxa"/>
              <w:right w:w="45" w:type="dxa"/>
            </w:tcMar>
            <w:vAlign w:val="center"/>
          </w:tcPr>
          <w:p w14:paraId="198795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525F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798E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w:t>
            </w:r>
          </w:p>
        </w:tc>
        <w:tc>
          <w:tcPr>
            <w:tcW w:w="14023" w:type="dxa"/>
            <w:gridSpan w:val="3"/>
            <w:tcMar>
              <w:left w:w="45" w:type="dxa"/>
              <w:right w:w="45" w:type="dxa"/>
            </w:tcMar>
            <w:vAlign w:val="center"/>
          </w:tcPr>
          <w:p w14:paraId="17A7EF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基础安全</w:t>
            </w:r>
          </w:p>
        </w:tc>
      </w:tr>
      <w:tr w14:paraId="1F4B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00CF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8.1</w:t>
            </w:r>
          </w:p>
        </w:tc>
        <w:tc>
          <w:tcPr>
            <w:tcW w:w="14023" w:type="dxa"/>
            <w:gridSpan w:val="3"/>
            <w:tcMar>
              <w:left w:w="45" w:type="dxa"/>
              <w:right w:w="45" w:type="dxa"/>
            </w:tcMar>
            <w:vAlign w:val="center"/>
          </w:tcPr>
          <w:p w14:paraId="1B1CB3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用电、用水基础安全</w:t>
            </w:r>
          </w:p>
        </w:tc>
      </w:tr>
      <w:tr w14:paraId="62C9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3EBB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8.1.1</w:t>
            </w:r>
          </w:p>
        </w:tc>
        <w:tc>
          <w:tcPr>
            <w:tcW w:w="3703" w:type="dxa"/>
            <w:tcMar>
              <w:left w:w="45" w:type="dxa"/>
              <w:right w:w="45" w:type="dxa"/>
            </w:tcMar>
            <w:vAlign w:val="center"/>
          </w:tcPr>
          <w:p w14:paraId="1F72C5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实验室用电安全应符合国家标准（导则）和行业标准</w:t>
            </w:r>
          </w:p>
        </w:tc>
        <w:tc>
          <w:tcPr>
            <w:tcW w:w="7777" w:type="dxa"/>
            <w:tcMar>
              <w:left w:w="45" w:type="dxa"/>
              <w:right w:w="45" w:type="dxa"/>
            </w:tcMar>
            <w:vAlign w:val="center"/>
          </w:tcPr>
          <w:p w14:paraId="09CE237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（95）实验室配电容量、插头插座与用电设备功率须匹配，不得私自改装。</w:t>
            </w:r>
          </w:p>
          <w:p w14:paraId="2B67B11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（96）电源插座须有效固定。</w:t>
            </w:r>
          </w:p>
          <w:p w14:paraId="7735541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（97）电气设备应配备空气开关和漏电保护器。</w:t>
            </w:r>
          </w:p>
          <w:p w14:paraId="12ED01B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（98）不私自乱拉、乱接电线、电缆，禁止多个接线板串接供电，接线板不宜直接置于地面。</w:t>
            </w:r>
          </w:p>
          <w:p w14:paraId="5FE6D4A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（99）禁止使用老化的线缆、花线、木质配电板、有破损的接线板，电线接头绝缘可靠，无裸露连接线，穿越通道的线缆应有盖板或护套，不使用老国标接线板、插座。</w:t>
            </w:r>
          </w:p>
          <w:p w14:paraId="05A8121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（100）大功率仪器（包括空调等）使用专用插座。</w:t>
            </w:r>
          </w:p>
          <w:p w14:paraId="42822C1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（101）电器长期不用时，应切断电源。</w:t>
            </w:r>
          </w:p>
          <w:p w14:paraId="5E8303A1">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bookmarkStart w:id="0" w:name="OLE_LINK1"/>
            <w:r>
              <w:rPr>
                <w:rFonts w:hint="default" w:ascii="Times New Roman" w:hAnsi="Times New Roman" w:eastAsia="仿宋_GB2312" w:cs="Times New Roman"/>
                <w:color w:val="auto"/>
                <w:kern w:val="0"/>
                <w:szCs w:val="21"/>
              </w:rPr>
              <w:t>（102）配电箱前不应有物品遮挡并便于操作，周围不应放置烘箱、电炉、易燃易爆气瓶、易燃易爆化学试剂、废液桶等；配电箱的金属箱体应与箱内保护零线或保护地线可靠连接；配电箱不宜设置在水槽上方或较近位置</w:t>
            </w:r>
            <w:bookmarkEnd w:id="0"/>
          </w:p>
        </w:tc>
        <w:tc>
          <w:tcPr>
            <w:tcW w:w="2543" w:type="dxa"/>
            <w:tcMar>
              <w:left w:w="45" w:type="dxa"/>
              <w:right w:w="45" w:type="dxa"/>
            </w:tcMar>
            <w:vAlign w:val="center"/>
          </w:tcPr>
          <w:p w14:paraId="19F79B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7F2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3138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8.1.2</w:t>
            </w:r>
          </w:p>
        </w:tc>
        <w:tc>
          <w:tcPr>
            <w:tcW w:w="3703" w:type="dxa"/>
            <w:tcMar>
              <w:left w:w="45" w:type="dxa"/>
              <w:right w:w="45" w:type="dxa"/>
            </w:tcMar>
            <w:vAlign w:val="center"/>
          </w:tcPr>
          <w:p w14:paraId="791091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给水、排水系统布置合理，运行正常</w:t>
            </w:r>
          </w:p>
        </w:tc>
        <w:tc>
          <w:tcPr>
            <w:tcW w:w="7777" w:type="dxa"/>
            <w:tcMar>
              <w:left w:w="45" w:type="dxa"/>
              <w:right w:w="45" w:type="dxa"/>
            </w:tcMar>
            <w:vAlign w:val="center"/>
          </w:tcPr>
          <w:p w14:paraId="67D563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（103）水槽、地漏及下水道畅通，水龙头、上下水管无破损。</w:t>
            </w:r>
          </w:p>
          <w:p w14:paraId="23A5CC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（104）各类连接管无老化破损（特别是冷却冷凝系统的橡胶管接口处）。</w:t>
            </w:r>
          </w:p>
          <w:p w14:paraId="4490511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（105）各楼层及实验室的各级水管总阀须有明显的标识</w:t>
            </w:r>
          </w:p>
        </w:tc>
        <w:tc>
          <w:tcPr>
            <w:tcW w:w="2543" w:type="dxa"/>
            <w:tcMar>
              <w:left w:w="45" w:type="dxa"/>
              <w:right w:w="45" w:type="dxa"/>
            </w:tcMar>
            <w:vAlign w:val="center"/>
          </w:tcPr>
          <w:p w14:paraId="531C0B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FD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CA11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8.2</w:t>
            </w:r>
          </w:p>
        </w:tc>
        <w:tc>
          <w:tcPr>
            <w:tcW w:w="14023" w:type="dxa"/>
            <w:gridSpan w:val="3"/>
            <w:tcMar>
              <w:left w:w="45" w:type="dxa"/>
              <w:right w:w="45" w:type="dxa"/>
            </w:tcMar>
            <w:vAlign w:val="center"/>
          </w:tcPr>
          <w:p w14:paraId="050426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个体防护</w:t>
            </w:r>
          </w:p>
        </w:tc>
      </w:tr>
      <w:tr w14:paraId="6063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1803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8.2.1</w:t>
            </w:r>
          </w:p>
        </w:tc>
        <w:tc>
          <w:tcPr>
            <w:tcW w:w="3703" w:type="dxa"/>
            <w:tcMar>
              <w:left w:w="45" w:type="dxa"/>
              <w:right w:w="45" w:type="dxa"/>
            </w:tcMar>
            <w:vAlign w:val="center"/>
          </w:tcPr>
          <w:p w14:paraId="77FE1B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实验人员须配备合适的个体防护用品</w:t>
            </w:r>
          </w:p>
        </w:tc>
        <w:tc>
          <w:tcPr>
            <w:tcW w:w="7777" w:type="dxa"/>
            <w:tcMar>
              <w:left w:w="45" w:type="dxa"/>
              <w:right w:w="45" w:type="dxa"/>
            </w:tcMar>
            <w:vAlign w:val="center"/>
          </w:tcPr>
          <w:p w14:paraId="30AA2C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（106）进入实验室人员须穿着质地合适的实验服或防护服。</w:t>
            </w:r>
          </w:p>
          <w:p w14:paraId="259CEF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w:t>
            </w:r>
            <w:r>
              <w:rPr>
                <w:rFonts w:hint="default" w:ascii="Times New Roman" w:hAnsi="Times New Roman" w:eastAsia="仿宋_GB2312" w:cs="Times New Roman"/>
                <w:b/>
                <w:bCs/>
                <w:color w:val="auto"/>
                <w:kern w:val="0"/>
                <w:szCs w:val="21"/>
              </w:rPr>
              <w:t>按需要佩戴防护眼镜、防护手套、安全帽、防护帽、呼吸器或面罩（呼吸器或面罩在有效期内，不用时须密封放置）等</w:t>
            </w:r>
            <w:r>
              <w:rPr>
                <w:rFonts w:hint="default" w:ascii="Times New Roman" w:hAnsi="Times New Roman" w:eastAsia="仿宋_GB2312" w:cs="Times New Roman"/>
                <w:color w:val="auto"/>
                <w:kern w:val="0"/>
                <w:szCs w:val="21"/>
              </w:rPr>
              <w:t>。</w:t>
            </w:r>
          </w:p>
          <w:p w14:paraId="244674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（108）进行化学、生物安全和高温实验时，慎戴隐形眼镜。</w:t>
            </w:r>
          </w:p>
          <w:p w14:paraId="438529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（109）操作机床等旋转设备时，不得佩戴长围巾、丝巾、领带等，长发须盘在工作帽内。</w:t>
            </w:r>
          </w:p>
          <w:p w14:paraId="4BB83F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（110）穿着化学、生物类实验服或戴实验手套时，不得随意进入非实验区</w:t>
            </w:r>
          </w:p>
        </w:tc>
        <w:tc>
          <w:tcPr>
            <w:tcW w:w="2543" w:type="dxa"/>
            <w:tcMar>
              <w:left w:w="45" w:type="dxa"/>
              <w:right w:w="45" w:type="dxa"/>
            </w:tcMar>
            <w:vAlign w:val="center"/>
          </w:tcPr>
          <w:p w14:paraId="14787C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6BD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A396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8.2.2</w:t>
            </w:r>
          </w:p>
        </w:tc>
        <w:tc>
          <w:tcPr>
            <w:tcW w:w="3703" w:type="dxa"/>
            <w:tcMar>
              <w:left w:w="45" w:type="dxa"/>
              <w:right w:w="45" w:type="dxa"/>
            </w:tcMar>
            <w:vAlign w:val="center"/>
          </w:tcPr>
          <w:p w14:paraId="0D1C3E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个体防护用品合理存放，存放地点有明显标识</w:t>
            </w:r>
          </w:p>
        </w:tc>
        <w:tc>
          <w:tcPr>
            <w:tcW w:w="7777" w:type="dxa"/>
            <w:tcMar>
              <w:left w:w="45" w:type="dxa"/>
              <w:right w:w="45" w:type="dxa"/>
            </w:tcMar>
            <w:vAlign w:val="center"/>
          </w:tcPr>
          <w:p w14:paraId="0938C2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（111）在紧急情况须使用的个体防护器具应分散存放在安全场所，以便于取用</w:t>
            </w:r>
          </w:p>
        </w:tc>
        <w:tc>
          <w:tcPr>
            <w:tcW w:w="2543" w:type="dxa"/>
            <w:tcMar>
              <w:left w:w="45" w:type="dxa"/>
              <w:right w:w="45" w:type="dxa"/>
            </w:tcMar>
            <w:vAlign w:val="center"/>
          </w:tcPr>
          <w:p w14:paraId="3D4BBD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37C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FA4D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8.2.3</w:t>
            </w:r>
          </w:p>
        </w:tc>
        <w:tc>
          <w:tcPr>
            <w:tcW w:w="3703" w:type="dxa"/>
            <w:tcMar>
              <w:left w:w="45" w:type="dxa"/>
              <w:right w:w="45" w:type="dxa"/>
            </w:tcMar>
            <w:vAlign w:val="center"/>
          </w:tcPr>
          <w:p w14:paraId="79859A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各类个体防护用品的使用有培训及定期检查维护</w:t>
            </w:r>
          </w:p>
        </w:tc>
        <w:tc>
          <w:tcPr>
            <w:tcW w:w="7777" w:type="dxa"/>
            <w:tcMar>
              <w:left w:w="45" w:type="dxa"/>
              <w:right w:w="45" w:type="dxa"/>
            </w:tcMar>
            <w:vAlign w:val="center"/>
          </w:tcPr>
          <w:p w14:paraId="60B9A7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（112）检查培训及维护记录</w:t>
            </w:r>
          </w:p>
        </w:tc>
        <w:tc>
          <w:tcPr>
            <w:tcW w:w="2543" w:type="dxa"/>
            <w:tcMar>
              <w:left w:w="45" w:type="dxa"/>
              <w:right w:w="45" w:type="dxa"/>
            </w:tcMar>
            <w:vAlign w:val="center"/>
          </w:tcPr>
          <w:p w14:paraId="2D4E84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74D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8B8E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8.3</w:t>
            </w:r>
          </w:p>
        </w:tc>
        <w:tc>
          <w:tcPr>
            <w:tcW w:w="14023" w:type="dxa"/>
            <w:gridSpan w:val="3"/>
            <w:tcMar>
              <w:left w:w="45" w:type="dxa"/>
              <w:right w:w="45" w:type="dxa"/>
            </w:tcMar>
            <w:vAlign w:val="center"/>
          </w:tcPr>
          <w:p w14:paraId="4289B3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339A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688B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8.3.1</w:t>
            </w:r>
          </w:p>
        </w:tc>
        <w:tc>
          <w:tcPr>
            <w:tcW w:w="3703" w:type="dxa"/>
            <w:tcMar>
              <w:left w:w="45" w:type="dxa"/>
              <w:right w:w="45" w:type="dxa"/>
            </w:tcMar>
            <w:vAlign w:val="center"/>
          </w:tcPr>
          <w:p w14:paraId="13A3A3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危险性实验（如高温、高压、高速运转等）时必须有两人在场</w:t>
            </w:r>
          </w:p>
        </w:tc>
        <w:tc>
          <w:tcPr>
            <w:tcW w:w="7777" w:type="dxa"/>
            <w:tcMar>
              <w:left w:w="45" w:type="dxa"/>
              <w:right w:w="45" w:type="dxa"/>
            </w:tcMar>
            <w:vAlign w:val="center"/>
          </w:tcPr>
          <w:p w14:paraId="020628CB">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（113）实验时不能脱岗，通宵实验须两人在场并有事先审批制度。改变关键参数的危险实验通过安全评估后，实验时须有实验室负责人或其指定的安全员在场</w:t>
            </w:r>
          </w:p>
        </w:tc>
        <w:tc>
          <w:tcPr>
            <w:tcW w:w="2543" w:type="dxa"/>
            <w:tcMar>
              <w:left w:w="45" w:type="dxa"/>
              <w:right w:w="45" w:type="dxa"/>
            </w:tcMar>
            <w:vAlign w:val="center"/>
          </w:tcPr>
          <w:p w14:paraId="1D2C5C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7B3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4017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8.3.2</w:t>
            </w:r>
          </w:p>
        </w:tc>
        <w:tc>
          <w:tcPr>
            <w:tcW w:w="3703" w:type="dxa"/>
            <w:tcMar>
              <w:left w:w="45" w:type="dxa"/>
              <w:right w:w="45" w:type="dxa"/>
            </w:tcMar>
            <w:vAlign w:val="center"/>
          </w:tcPr>
          <w:p w14:paraId="67BB98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实验台面整洁、实验记录规范</w:t>
            </w:r>
          </w:p>
        </w:tc>
        <w:tc>
          <w:tcPr>
            <w:tcW w:w="7777" w:type="dxa"/>
            <w:tcMar>
              <w:left w:w="45" w:type="dxa"/>
              <w:right w:w="45" w:type="dxa"/>
            </w:tcMar>
            <w:vAlign w:val="center"/>
          </w:tcPr>
          <w:p w14:paraId="412C07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（114）查看实验台面和实验记录</w:t>
            </w:r>
          </w:p>
        </w:tc>
        <w:tc>
          <w:tcPr>
            <w:tcW w:w="2543" w:type="dxa"/>
            <w:tcMar>
              <w:left w:w="45" w:type="dxa"/>
              <w:right w:w="45" w:type="dxa"/>
            </w:tcMar>
            <w:vAlign w:val="center"/>
          </w:tcPr>
          <w:p w14:paraId="487784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0B1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ACE4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w:t>
            </w:r>
          </w:p>
        </w:tc>
        <w:tc>
          <w:tcPr>
            <w:tcW w:w="14023" w:type="dxa"/>
            <w:gridSpan w:val="3"/>
            <w:tcMar>
              <w:left w:w="45" w:type="dxa"/>
              <w:right w:w="45" w:type="dxa"/>
            </w:tcMar>
            <w:vAlign w:val="center"/>
          </w:tcPr>
          <w:p w14:paraId="2023A9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化学安全</w:t>
            </w:r>
          </w:p>
        </w:tc>
      </w:tr>
      <w:tr w14:paraId="1D33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2997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9.1</w:t>
            </w:r>
          </w:p>
        </w:tc>
        <w:tc>
          <w:tcPr>
            <w:tcW w:w="14023" w:type="dxa"/>
            <w:gridSpan w:val="3"/>
            <w:tcMar>
              <w:left w:w="45" w:type="dxa"/>
              <w:right w:w="45" w:type="dxa"/>
            </w:tcMar>
            <w:vAlign w:val="center"/>
          </w:tcPr>
          <w:p w14:paraId="0FC1B8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危险化学品专用仓库</w:t>
            </w:r>
          </w:p>
        </w:tc>
      </w:tr>
      <w:tr w14:paraId="14FA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410E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9.1.1</w:t>
            </w:r>
          </w:p>
        </w:tc>
        <w:tc>
          <w:tcPr>
            <w:tcW w:w="3703" w:type="dxa"/>
            <w:tcMar>
              <w:left w:w="45" w:type="dxa"/>
              <w:right w:w="45" w:type="dxa"/>
            </w:tcMar>
            <w:vAlign w:val="center"/>
          </w:tcPr>
          <w:p w14:paraId="42E37B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应规范管理</w:t>
            </w:r>
          </w:p>
          <w:p w14:paraId="31A66375">
            <w:pPr>
              <w:pStyle w:val="2"/>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c>
          <w:tcPr>
            <w:tcW w:w="7777" w:type="dxa"/>
            <w:tcMar>
              <w:left w:w="45" w:type="dxa"/>
              <w:right w:w="45" w:type="dxa"/>
            </w:tcMar>
            <w:vAlign w:val="center"/>
          </w:tcPr>
          <w:p w14:paraId="700EFC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（115）危险化学品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须有通风、隔热、避光、防盗、防爆、防静电、泄漏报警、应急喷淋、安全警示标识等措施，符合相关规定，专人管理。</w:t>
            </w:r>
          </w:p>
          <w:p w14:paraId="64541C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（116）危险化学品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的消防</w:t>
            </w:r>
            <w:r>
              <w:rPr>
                <w:rFonts w:hint="default" w:ascii="Times New Roman" w:hAnsi="Times New Roman" w:eastAsia="仿宋_GB2312" w:cs="Times New Roman"/>
                <w:color w:val="auto"/>
                <w:szCs w:val="21"/>
              </w:rPr>
              <w:t>设施符合国家相关规定，正确配备灭火器材（如灭火器、灭火毯、砂箱、自动喷淋等）。</w:t>
            </w:r>
          </w:p>
          <w:p w14:paraId="488DA9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（117）</w:t>
            </w: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不能建设在地下或半地下，不得建设在实验楼内。若只能在实验楼内存放，则应按照实验室的标准要求管理（见“9.3实验室化学品的存放”）。</w:t>
            </w:r>
          </w:p>
          <w:p w14:paraId="39C73CB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（118）危险化学品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的试剂不混放，整箱试剂的叠加高度不大于1.5m</w:t>
            </w:r>
          </w:p>
        </w:tc>
        <w:tc>
          <w:tcPr>
            <w:tcW w:w="2543" w:type="dxa"/>
            <w:tcMar>
              <w:left w:w="45" w:type="dxa"/>
              <w:right w:w="45" w:type="dxa"/>
            </w:tcMar>
            <w:vAlign w:val="center"/>
          </w:tcPr>
          <w:p w14:paraId="130B7C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6D3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7A62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9.2</w:t>
            </w:r>
          </w:p>
        </w:tc>
        <w:tc>
          <w:tcPr>
            <w:tcW w:w="14023" w:type="dxa"/>
            <w:gridSpan w:val="3"/>
            <w:tcMar>
              <w:left w:w="45" w:type="dxa"/>
              <w:right w:w="45" w:type="dxa"/>
            </w:tcMar>
            <w:vAlign w:val="center"/>
          </w:tcPr>
          <w:p w14:paraId="3BD34F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危险化学品购置</w:t>
            </w:r>
          </w:p>
        </w:tc>
      </w:tr>
      <w:tr w14:paraId="622A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D53D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9.2.1</w:t>
            </w:r>
          </w:p>
        </w:tc>
        <w:tc>
          <w:tcPr>
            <w:tcW w:w="3703" w:type="dxa"/>
            <w:tcMar>
              <w:left w:w="45" w:type="dxa"/>
              <w:right w:w="45" w:type="dxa"/>
            </w:tcMar>
            <w:vAlign w:val="center"/>
          </w:tcPr>
          <w:p w14:paraId="27995FF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危险化学品采购须符合要求</w:t>
            </w:r>
          </w:p>
        </w:tc>
        <w:tc>
          <w:tcPr>
            <w:tcW w:w="7777" w:type="dxa"/>
            <w:tcMar>
              <w:left w:w="45" w:type="dxa"/>
              <w:right w:w="45" w:type="dxa"/>
            </w:tcMar>
            <w:vAlign w:val="center"/>
          </w:tcPr>
          <w:p w14:paraId="6953D91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119）危险化学品须向具有生产经营许可资质的单位购买，查看相关供应商的经营许可资质证书复印件，要求提供化学品安全技术说明书。进口危险化学品应当向国务院安全生产监督管理部门负责危险化学品登记的机构办理危险化学品登记</w:t>
            </w:r>
          </w:p>
        </w:tc>
        <w:tc>
          <w:tcPr>
            <w:tcW w:w="2543" w:type="dxa"/>
            <w:tcMar>
              <w:left w:w="45" w:type="dxa"/>
              <w:right w:w="45" w:type="dxa"/>
            </w:tcMar>
            <w:vAlign w:val="center"/>
          </w:tcPr>
          <w:p w14:paraId="3B5A63D9">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13DB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EF01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9.2.2</w:t>
            </w:r>
          </w:p>
        </w:tc>
        <w:tc>
          <w:tcPr>
            <w:tcW w:w="3703" w:type="dxa"/>
            <w:tcMar>
              <w:left w:w="45" w:type="dxa"/>
              <w:right w:w="45" w:type="dxa"/>
            </w:tcMar>
            <w:vAlign w:val="center"/>
          </w:tcPr>
          <w:p w14:paraId="7942259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剧毒品、易制爆品、易制毒品、爆炸品的购买程序合规</w:t>
            </w:r>
          </w:p>
        </w:tc>
        <w:tc>
          <w:tcPr>
            <w:tcW w:w="7777" w:type="dxa"/>
            <w:tcMar>
              <w:left w:w="45" w:type="dxa"/>
              <w:right w:w="45" w:type="dxa"/>
            </w:tcMar>
            <w:vAlign w:val="center"/>
          </w:tcPr>
          <w:p w14:paraId="1BB752D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（120）购买前须经学校审批，报公安机关批准或备案后，向具有经营许可资质的单位购买，并保留报批及审批记录。</w:t>
            </w:r>
          </w:p>
          <w:p w14:paraId="1D7A169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（121）建立购买、验收、使用等台账资料。</w:t>
            </w:r>
          </w:p>
          <w:p w14:paraId="15DFDEE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（122）不得私自从外单位获取管制类化学品，也不得给外单位或个人提供管制化学品</w:t>
            </w:r>
          </w:p>
        </w:tc>
        <w:tc>
          <w:tcPr>
            <w:tcW w:w="2543" w:type="dxa"/>
            <w:tcMar>
              <w:left w:w="45" w:type="dxa"/>
              <w:right w:w="45" w:type="dxa"/>
            </w:tcMar>
            <w:vAlign w:val="center"/>
          </w:tcPr>
          <w:p w14:paraId="053329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5DF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5A8C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9.2.3</w:t>
            </w:r>
          </w:p>
        </w:tc>
        <w:tc>
          <w:tcPr>
            <w:tcW w:w="3703" w:type="dxa"/>
            <w:tcMar>
              <w:left w:w="45" w:type="dxa"/>
              <w:right w:w="45" w:type="dxa"/>
            </w:tcMar>
            <w:vAlign w:val="center"/>
          </w:tcPr>
          <w:p w14:paraId="4C7AF1D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麻醉药品、精神药品等购买前须向食品药品监督管理部门申请</w:t>
            </w:r>
          </w:p>
        </w:tc>
        <w:tc>
          <w:tcPr>
            <w:tcW w:w="7777" w:type="dxa"/>
            <w:tcMar>
              <w:left w:w="45" w:type="dxa"/>
              <w:right w:w="45" w:type="dxa"/>
            </w:tcMar>
            <w:vAlign w:val="center"/>
          </w:tcPr>
          <w:p w14:paraId="7A68F4E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（123）报批同意后向定点供应商或者定点生产企业采购</w:t>
            </w:r>
          </w:p>
        </w:tc>
        <w:tc>
          <w:tcPr>
            <w:tcW w:w="2543" w:type="dxa"/>
            <w:tcMar>
              <w:left w:w="45" w:type="dxa"/>
              <w:right w:w="45" w:type="dxa"/>
            </w:tcMar>
            <w:vAlign w:val="center"/>
          </w:tcPr>
          <w:p w14:paraId="7E9549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C16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063B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9.2.4</w:t>
            </w:r>
          </w:p>
        </w:tc>
        <w:tc>
          <w:tcPr>
            <w:tcW w:w="3703" w:type="dxa"/>
            <w:tcMar>
              <w:left w:w="45" w:type="dxa"/>
              <w:right w:w="45" w:type="dxa"/>
            </w:tcMar>
            <w:vAlign w:val="center"/>
          </w:tcPr>
          <w:p w14:paraId="54202426">
            <w:pPr>
              <w:pageBreakBefore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校内危险化学品的运输安全</w:t>
            </w:r>
          </w:p>
        </w:tc>
        <w:tc>
          <w:tcPr>
            <w:tcW w:w="7777" w:type="dxa"/>
            <w:tcMar>
              <w:left w:w="45" w:type="dxa"/>
              <w:right w:w="45" w:type="dxa"/>
            </w:tcMar>
            <w:vAlign w:val="center"/>
          </w:tcPr>
          <w:p w14:paraId="1CD8C9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（124）现场抽查，校园内的运输车辆、运送人员、送货方式等符合相关规范</w:t>
            </w:r>
          </w:p>
        </w:tc>
        <w:tc>
          <w:tcPr>
            <w:tcW w:w="2543" w:type="dxa"/>
            <w:tcMar>
              <w:left w:w="45" w:type="dxa"/>
              <w:right w:w="45" w:type="dxa"/>
            </w:tcMar>
            <w:vAlign w:val="center"/>
          </w:tcPr>
          <w:p w14:paraId="5B5545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69E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72EA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9.3</w:t>
            </w:r>
          </w:p>
        </w:tc>
        <w:tc>
          <w:tcPr>
            <w:tcW w:w="14023" w:type="dxa"/>
            <w:gridSpan w:val="3"/>
            <w:tcMar>
              <w:left w:w="45" w:type="dxa"/>
              <w:right w:w="45" w:type="dxa"/>
            </w:tcMar>
            <w:vAlign w:val="center"/>
          </w:tcPr>
          <w:p w14:paraId="4252EA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实验室化学品存放</w:t>
            </w:r>
          </w:p>
        </w:tc>
      </w:tr>
      <w:tr w14:paraId="37C5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186F6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9.3.1</w:t>
            </w:r>
          </w:p>
        </w:tc>
        <w:tc>
          <w:tcPr>
            <w:tcW w:w="3703" w:type="dxa"/>
            <w:tcMar>
              <w:left w:w="45" w:type="dxa"/>
              <w:right w:w="45" w:type="dxa"/>
            </w:tcMar>
            <w:vAlign w:val="center"/>
          </w:tcPr>
          <w:p w14:paraId="506009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实验室内危险化学品建有动态台账</w:t>
            </w:r>
          </w:p>
        </w:tc>
        <w:tc>
          <w:tcPr>
            <w:tcW w:w="7777" w:type="dxa"/>
            <w:tcMar>
              <w:left w:w="45" w:type="dxa"/>
              <w:right w:w="45" w:type="dxa"/>
            </w:tcMar>
            <w:vAlign w:val="center"/>
          </w:tcPr>
          <w:p w14:paraId="1E1E40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（125）建立实验室危险化学品动态台账，并有危险化学品安全技术说明书（SDS）或安全周知卡，方便查阅。</w:t>
            </w:r>
          </w:p>
          <w:p w14:paraId="1ECA73A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（126）定期清理废旧试剂，无累积现象</w:t>
            </w:r>
          </w:p>
        </w:tc>
        <w:tc>
          <w:tcPr>
            <w:tcW w:w="2543" w:type="dxa"/>
            <w:tcMar>
              <w:left w:w="45" w:type="dxa"/>
              <w:right w:w="45" w:type="dxa"/>
            </w:tcMar>
            <w:vAlign w:val="center"/>
          </w:tcPr>
          <w:p w14:paraId="7A018FE7">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41BB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F878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9.3.2</w:t>
            </w:r>
          </w:p>
        </w:tc>
        <w:tc>
          <w:tcPr>
            <w:tcW w:w="3703" w:type="dxa"/>
            <w:tcMar>
              <w:left w:w="45" w:type="dxa"/>
              <w:right w:w="45" w:type="dxa"/>
            </w:tcMar>
            <w:vAlign w:val="center"/>
          </w:tcPr>
          <w:p w14:paraId="6605DE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化学品有专用存放空间并科学有序存放</w:t>
            </w:r>
          </w:p>
        </w:tc>
        <w:tc>
          <w:tcPr>
            <w:tcW w:w="7777" w:type="dxa"/>
            <w:tcMar>
              <w:left w:w="45" w:type="dxa"/>
              <w:right w:w="45" w:type="dxa"/>
            </w:tcMar>
            <w:vAlign w:val="center"/>
          </w:tcPr>
          <w:p w14:paraId="39A1AC4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rPr>
              <w:t>（127）</w:t>
            </w:r>
            <w:r>
              <w:rPr>
                <w:rFonts w:hint="default" w:ascii="Times New Roman" w:hAnsi="Times New Roman" w:eastAsia="仿宋_GB2312" w:cs="Times New Roman"/>
                <w:b/>
                <w:bCs/>
                <w:color w:val="auto"/>
              </w:rPr>
              <w:t>危险化学品应当储存在专用储存室或储存专柜内，并由专人负责管理</w:t>
            </w:r>
            <w:r>
              <w:rPr>
                <w:rFonts w:hint="default" w:ascii="Times New Roman" w:hAnsi="Times New Roman" w:eastAsia="仿宋_GB2312" w:cs="Times New Roman"/>
                <w:b/>
                <w:bCs/>
                <w:color w:val="auto"/>
                <w:kern w:val="0"/>
              </w:rPr>
              <w:t>。</w:t>
            </w:r>
          </w:p>
          <w:p w14:paraId="7E9BB3A5">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（128）</w:t>
            </w:r>
            <w:r>
              <w:rPr>
                <w:rFonts w:hint="default" w:ascii="Times New Roman" w:hAnsi="Times New Roman" w:eastAsia="仿宋_GB2312" w:cs="Times New Roman"/>
                <w:color w:val="auto"/>
              </w:rPr>
              <w:t>储藏室、储藏区、储存柜等</w:t>
            </w:r>
            <w:r>
              <w:rPr>
                <w:rFonts w:hint="default" w:ascii="Times New Roman" w:hAnsi="Times New Roman" w:eastAsia="仿宋_GB2312" w:cs="Times New Roman"/>
                <w:bCs/>
                <w:color w:val="auto"/>
                <w:kern w:val="0"/>
              </w:rPr>
              <w:t>应</w:t>
            </w:r>
            <w:r>
              <w:rPr>
                <w:rFonts w:hint="default" w:ascii="Times New Roman" w:hAnsi="Times New Roman" w:eastAsia="仿宋_GB2312" w:cs="Times New Roman"/>
                <w:color w:val="auto"/>
                <w:kern w:val="0"/>
              </w:rPr>
              <w:t>通风、隔热、避免阳光直射，易泄漏、易挥发的试剂存放设备与地点应保证充足的通风。</w:t>
            </w:r>
          </w:p>
          <w:p w14:paraId="1DDB26C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（129）试剂柜中不能有电源插座或接线板。</w:t>
            </w:r>
          </w:p>
          <w:p w14:paraId="0DD224A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（130）化学品有序分类存放，固体、液体不混乱放置，互为禁忌的化学品不得混放，试剂不得叠放。有机溶剂储存区应远离热源和火源。装有试剂的试剂瓶不得开口放置。实验台架无挡板不得存放化学试剂。</w:t>
            </w:r>
          </w:p>
          <w:p w14:paraId="1DCBF81D">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（131）配备必要的二次泄漏防护、吸附或防溢流功能</w:t>
            </w:r>
          </w:p>
        </w:tc>
        <w:tc>
          <w:tcPr>
            <w:tcW w:w="2543" w:type="dxa"/>
            <w:tcMar>
              <w:left w:w="45" w:type="dxa"/>
              <w:right w:w="45" w:type="dxa"/>
            </w:tcMar>
            <w:vAlign w:val="center"/>
          </w:tcPr>
          <w:p w14:paraId="54BE11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8A7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4938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9.3.3</w:t>
            </w:r>
          </w:p>
        </w:tc>
        <w:tc>
          <w:tcPr>
            <w:tcW w:w="3703" w:type="dxa"/>
            <w:tcMar>
              <w:left w:w="45" w:type="dxa"/>
              <w:right w:w="45" w:type="dxa"/>
            </w:tcMar>
            <w:vAlign w:val="center"/>
          </w:tcPr>
          <w:p w14:paraId="029468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实验室内存放的危险化学品总量符合规定要求</w:t>
            </w:r>
          </w:p>
        </w:tc>
        <w:tc>
          <w:tcPr>
            <w:tcW w:w="7777" w:type="dxa"/>
            <w:tcMar>
              <w:left w:w="45" w:type="dxa"/>
              <w:right w:w="45" w:type="dxa"/>
            </w:tcMar>
            <w:vAlign w:val="center"/>
          </w:tcPr>
          <w:p w14:paraId="7A09F31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（132）</w:t>
            </w:r>
            <w:r>
              <w:rPr>
                <w:rFonts w:hint="default" w:ascii="Times New Roman" w:hAnsi="Times New Roman" w:eastAsia="仿宋_GB2312" w:cs="Times New Roman"/>
                <w:b/>
                <w:bCs/>
                <w:color w:val="auto"/>
                <w:kern w:val="0"/>
                <w:szCs w:val="21"/>
              </w:rPr>
              <w:t>同一防火单元内，危险化学品（不含压缩气体和液化气体）原则上不应超过100L或100Kg，其中易燃易爆性化学品的存放总量不应超过50L或50Kg，且单一包装容器不应大于25L或25Kg</w:t>
            </w:r>
            <w:r>
              <w:rPr>
                <w:rFonts w:hint="default" w:ascii="Times New Roman" w:hAnsi="Times New Roman" w:eastAsia="仿宋_GB2312" w:cs="Times New Roman"/>
                <w:color w:val="auto"/>
                <w:kern w:val="0"/>
              </w:rPr>
              <w:t>。</w:t>
            </w:r>
          </w:p>
          <w:p w14:paraId="3AE36B1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（133）常年大量使用易燃易爆溶剂或气体须加装泄漏报警器，储存部位应加装常时排风或与检测报警联动排风装置</w:t>
            </w:r>
          </w:p>
        </w:tc>
        <w:tc>
          <w:tcPr>
            <w:tcW w:w="2543" w:type="dxa"/>
            <w:tcMar>
              <w:left w:w="45" w:type="dxa"/>
              <w:right w:w="45" w:type="dxa"/>
            </w:tcMar>
            <w:vAlign w:val="center"/>
          </w:tcPr>
          <w:p w14:paraId="001C78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E41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5222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9.3.4</w:t>
            </w:r>
          </w:p>
        </w:tc>
        <w:tc>
          <w:tcPr>
            <w:tcW w:w="3703" w:type="dxa"/>
            <w:tcMar>
              <w:left w:w="45" w:type="dxa"/>
              <w:right w:w="45" w:type="dxa"/>
            </w:tcMar>
            <w:vAlign w:val="center"/>
          </w:tcPr>
          <w:p w14:paraId="241AC0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化学品标签应显著、完整、清晰</w:t>
            </w:r>
          </w:p>
        </w:tc>
        <w:tc>
          <w:tcPr>
            <w:tcW w:w="7777" w:type="dxa"/>
            <w:tcMar>
              <w:left w:w="45" w:type="dxa"/>
              <w:right w:w="45" w:type="dxa"/>
            </w:tcMar>
            <w:vAlign w:val="center"/>
          </w:tcPr>
          <w:p w14:paraId="463B09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（134）化学品包装物上须有符合规定的化学品标签。</w:t>
            </w:r>
          </w:p>
          <w:p w14:paraId="22244C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（135）当化学品由原包装物转移或分装到其他包装物内时，转移或分装后的包装物应及时重新粘贴标识。化学品标签脱落、</w:t>
            </w:r>
            <w:r>
              <w:rPr>
                <w:rFonts w:hint="default" w:ascii="Times New Roman" w:hAnsi="Times New Roman" w:eastAsia="仿宋_GB2312" w:cs="Times New Roman"/>
                <w:bCs/>
                <w:color w:val="auto"/>
                <w:kern w:val="0"/>
                <w:szCs w:val="21"/>
              </w:rPr>
              <w:t>模糊、腐蚀</w:t>
            </w:r>
            <w:r>
              <w:rPr>
                <w:rFonts w:hint="default" w:ascii="Times New Roman" w:hAnsi="Times New Roman" w:eastAsia="仿宋_GB2312" w:cs="Times New Roman"/>
                <w:color w:val="auto"/>
                <w:kern w:val="0"/>
                <w:szCs w:val="21"/>
              </w:rPr>
              <w:t>后应及时补上，如不能确认，则按不明废弃化学品处置</w:t>
            </w:r>
          </w:p>
        </w:tc>
        <w:tc>
          <w:tcPr>
            <w:tcW w:w="2543" w:type="dxa"/>
            <w:tcMar>
              <w:left w:w="45" w:type="dxa"/>
              <w:right w:w="45" w:type="dxa"/>
            </w:tcMar>
            <w:vAlign w:val="center"/>
          </w:tcPr>
          <w:p w14:paraId="79801A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43C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311B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9.3.5</w:t>
            </w:r>
          </w:p>
        </w:tc>
        <w:tc>
          <w:tcPr>
            <w:tcW w:w="3703" w:type="dxa"/>
            <w:tcMar>
              <w:left w:w="45" w:type="dxa"/>
              <w:right w:w="45" w:type="dxa"/>
            </w:tcMar>
            <w:vAlign w:val="center"/>
          </w:tcPr>
          <w:p w14:paraId="034639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其他存放要求</w:t>
            </w:r>
          </w:p>
        </w:tc>
        <w:tc>
          <w:tcPr>
            <w:tcW w:w="7777" w:type="dxa"/>
            <w:tcMar>
              <w:left w:w="45" w:type="dxa"/>
              <w:right w:w="45" w:type="dxa"/>
            </w:tcMar>
            <w:vAlign w:val="center"/>
          </w:tcPr>
          <w:p w14:paraId="4732290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（136）装有配制试剂、合成品、样品等的容器上标签信息明确，标签信息包括名称或编号、使用人、日期等。</w:t>
            </w:r>
          </w:p>
          <w:p w14:paraId="6327AD5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（137）无使用饮料瓶存放试剂、样品的现象，如确需使用，必须撕去原包装纸，并贴试剂标签。</w:t>
            </w:r>
          </w:p>
          <w:p w14:paraId="4674C2FC">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（138）</w:t>
            </w:r>
            <w:r>
              <w:rPr>
                <w:rFonts w:hint="default" w:ascii="Times New Roman" w:hAnsi="Times New Roman" w:eastAsia="仿宋_GB2312" w:cs="Times New Roman"/>
                <w:color w:val="auto"/>
                <w:kern w:val="0"/>
                <w:szCs w:val="21"/>
              </w:rPr>
              <w:t>不使用破损量筒、试管、移液管等玻璃器皿</w:t>
            </w:r>
          </w:p>
        </w:tc>
        <w:tc>
          <w:tcPr>
            <w:tcW w:w="2543" w:type="dxa"/>
            <w:tcMar>
              <w:left w:w="45" w:type="dxa"/>
              <w:right w:w="45" w:type="dxa"/>
            </w:tcMar>
            <w:vAlign w:val="center"/>
          </w:tcPr>
          <w:p w14:paraId="1A47EB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C50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C809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9.4</w:t>
            </w:r>
          </w:p>
        </w:tc>
        <w:tc>
          <w:tcPr>
            <w:tcW w:w="14023" w:type="dxa"/>
            <w:gridSpan w:val="3"/>
            <w:tcMar>
              <w:left w:w="45" w:type="dxa"/>
              <w:right w:w="45" w:type="dxa"/>
            </w:tcMar>
            <w:vAlign w:val="center"/>
          </w:tcPr>
          <w:p w14:paraId="75C87F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实验操作安全</w:t>
            </w:r>
          </w:p>
        </w:tc>
      </w:tr>
      <w:tr w14:paraId="14A5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02BB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9.4.1</w:t>
            </w:r>
          </w:p>
        </w:tc>
        <w:tc>
          <w:tcPr>
            <w:tcW w:w="3703" w:type="dxa"/>
            <w:tcMar>
              <w:left w:w="45" w:type="dxa"/>
              <w:right w:w="45" w:type="dxa"/>
            </w:tcMar>
            <w:vAlign w:val="center"/>
          </w:tcPr>
          <w:p w14:paraId="036A48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制定危险实验、危险化工工艺指导书、各类标准操作规程（SOP）、应急预案</w:t>
            </w:r>
          </w:p>
        </w:tc>
        <w:tc>
          <w:tcPr>
            <w:tcW w:w="7777" w:type="dxa"/>
            <w:tcMar>
              <w:left w:w="45" w:type="dxa"/>
              <w:right w:w="45" w:type="dxa"/>
            </w:tcMar>
            <w:vAlign w:val="center"/>
          </w:tcPr>
          <w:p w14:paraId="71B595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（139）危险化工工艺指导书和应急预案上墙或便于取阅，实验人员熟悉所涉及的危险性及应急处理措施，按照危险化工工艺指导书进行实验</w:t>
            </w:r>
          </w:p>
        </w:tc>
        <w:tc>
          <w:tcPr>
            <w:tcW w:w="2543" w:type="dxa"/>
            <w:tcMar>
              <w:left w:w="45" w:type="dxa"/>
              <w:right w:w="45" w:type="dxa"/>
            </w:tcMar>
            <w:vAlign w:val="center"/>
          </w:tcPr>
          <w:p w14:paraId="19BE13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23B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4CC55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9.4.2</w:t>
            </w:r>
          </w:p>
        </w:tc>
        <w:tc>
          <w:tcPr>
            <w:tcW w:w="3703" w:type="dxa"/>
            <w:tcMar>
              <w:left w:w="45" w:type="dxa"/>
              <w:right w:w="45" w:type="dxa"/>
            </w:tcMar>
            <w:vAlign w:val="center"/>
          </w:tcPr>
          <w:p w14:paraId="5E1BF3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特别关注危险化学工艺和装置</w:t>
            </w:r>
          </w:p>
        </w:tc>
        <w:tc>
          <w:tcPr>
            <w:tcW w:w="7777" w:type="dxa"/>
            <w:tcMar>
              <w:left w:w="45" w:type="dxa"/>
              <w:right w:w="45" w:type="dxa"/>
            </w:tcMar>
            <w:vAlign w:val="center"/>
          </w:tcPr>
          <w:p w14:paraId="362748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（140）</w:t>
            </w:r>
            <w:r>
              <w:rPr>
                <w:rFonts w:hint="default" w:ascii="Times New Roman" w:hAnsi="Times New Roman" w:eastAsia="仿宋_GB2312" w:cs="Times New Roman"/>
                <w:b/>
                <w:bCs/>
                <w:color w:val="auto"/>
                <w:kern w:val="0"/>
                <w:szCs w:val="21"/>
              </w:rPr>
              <w:t>涉及危险化工工艺、重点监管危险化学品的反应装置应设置自动化控制系统，锂电池研究区域应远离其他可燃物品。</w:t>
            </w:r>
          </w:p>
          <w:p w14:paraId="39D2B3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（141）涉及放热反应的危险化工工艺生产装置应设置双重电源供电或控制系统应配置不间断电源</w:t>
            </w:r>
          </w:p>
        </w:tc>
        <w:tc>
          <w:tcPr>
            <w:tcW w:w="2543" w:type="dxa"/>
            <w:tcMar>
              <w:left w:w="45" w:type="dxa"/>
              <w:right w:w="45" w:type="dxa"/>
            </w:tcMar>
            <w:vAlign w:val="center"/>
          </w:tcPr>
          <w:p w14:paraId="393362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D6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C729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9.4.3</w:t>
            </w:r>
          </w:p>
        </w:tc>
        <w:tc>
          <w:tcPr>
            <w:tcW w:w="3703" w:type="dxa"/>
            <w:tcMar>
              <w:left w:w="45" w:type="dxa"/>
              <w:right w:w="45" w:type="dxa"/>
            </w:tcMar>
            <w:vAlign w:val="center"/>
          </w:tcPr>
          <w:p w14:paraId="55ABB1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做好有毒有害废气的处理和防护</w:t>
            </w:r>
          </w:p>
        </w:tc>
        <w:tc>
          <w:tcPr>
            <w:tcW w:w="7777" w:type="dxa"/>
            <w:tcMar>
              <w:left w:w="45" w:type="dxa"/>
              <w:right w:w="45" w:type="dxa"/>
            </w:tcMar>
            <w:vAlign w:val="center"/>
          </w:tcPr>
          <w:p w14:paraId="684605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（142）对于产生有毒有害废气的实验，须在通风柜中进行，并在实验装置尾端配有气体吸收装置，操作者佩戴合适有效的呼吸防护用具</w:t>
            </w:r>
          </w:p>
        </w:tc>
        <w:tc>
          <w:tcPr>
            <w:tcW w:w="2543" w:type="dxa"/>
            <w:tcMar>
              <w:left w:w="45" w:type="dxa"/>
              <w:right w:w="45" w:type="dxa"/>
            </w:tcMar>
            <w:vAlign w:val="center"/>
          </w:tcPr>
          <w:p w14:paraId="0D7E31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7CF7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F04A8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9.5</w:t>
            </w:r>
          </w:p>
        </w:tc>
        <w:tc>
          <w:tcPr>
            <w:tcW w:w="14023" w:type="dxa"/>
            <w:gridSpan w:val="3"/>
            <w:tcMar>
              <w:left w:w="45" w:type="dxa"/>
              <w:right w:w="45" w:type="dxa"/>
            </w:tcMar>
            <w:vAlign w:val="center"/>
          </w:tcPr>
          <w:p w14:paraId="334178D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kern w:val="0"/>
                <w:szCs w:val="21"/>
              </w:rPr>
              <w:t>管制类化学品管理</w:t>
            </w:r>
          </w:p>
        </w:tc>
      </w:tr>
      <w:tr w14:paraId="19C5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5698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9.5.1</w:t>
            </w:r>
          </w:p>
        </w:tc>
        <w:tc>
          <w:tcPr>
            <w:tcW w:w="3703" w:type="dxa"/>
            <w:tcMar>
              <w:left w:w="45" w:type="dxa"/>
              <w:right w:w="45" w:type="dxa"/>
            </w:tcMar>
            <w:vAlign w:val="center"/>
          </w:tcPr>
          <w:p w14:paraId="05AB73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剧毒化学品应当单独存放, 实行双人收发、 双人保管制度，技防措施符合管制要求</w:t>
            </w:r>
          </w:p>
          <w:p w14:paraId="6B1DEAC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4FE665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（143）单独存放，不得与易燃、易爆、腐蚀性物品等一起存放。</w:t>
            </w:r>
          </w:p>
          <w:p w14:paraId="565EC5A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（144）有专人管理并做好贮存、领取、发放情况登记，登记资料至少保存3年。</w:t>
            </w:r>
          </w:p>
          <w:p w14:paraId="65B3134A">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zCs w:val="21"/>
              </w:rPr>
              <w:t>（145）防盗安全门应符合GB 17565《防盗安全门通用技术条件》的要求，防盗安全级别为3级（含）以上，防盗锁应符合GA/T 73《机械防盗锁》的要求，防盗保险柜应符合GB 10409《防盗保险柜》的要求，监控管控执行公安部门的要求</w:t>
            </w:r>
          </w:p>
        </w:tc>
        <w:tc>
          <w:tcPr>
            <w:tcW w:w="2543" w:type="dxa"/>
            <w:tcMar>
              <w:left w:w="45" w:type="dxa"/>
              <w:right w:w="45" w:type="dxa"/>
            </w:tcMar>
            <w:vAlign w:val="center"/>
          </w:tcPr>
          <w:p w14:paraId="08BAF0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7EC4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78C5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9.5.2</w:t>
            </w:r>
          </w:p>
        </w:tc>
        <w:tc>
          <w:tcPr>
            <w:tcW w:w="3703" w:type="dxa"/>
            <w:tcMar>
              <w:left w:w="45" w:type="dxa"/>
              <w:right w:w="45" w:type="dxa"/>
            </w:tcMar>
            <w:vAlign w:val="center"/>
          </w:tcPr>
          <w:p w14:paraId="5550B2D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易制毒化学品储存规范，台账清晰</w:t>
            </w:r>
          </w:p>
          <w:p w14:paraId="4B2A0F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397A08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（146）应设置专用存储区或者储存专柜并有防盗措施。</w:t>
            </w:r>
          </w:p>
          <w:p w14:paraId="137527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（147）第一类易制毒化学品（含药品类易制毒化学品）实行双人双锁管理，账册保存期限不少于2年</w:t>
            </w:r>
          </w:p>
        </w:tc>
        <w:tc>
          <w:tcPr>
            <w:tcW w:w="2543" w:type="dxa"/>
            <w:tcMar>
              <w:left w:w="45" w:type="dxa"/>
              <w:right w:w="45" w:type="dxa"/>
            </w:tcMar>
            <w:vAlign w:val="center"/>
          </w:tcPr>
          <w:p w14:paraId="2A6C66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40F1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6E92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9.5.3</w:t>
            </w:r>
          </w:p>
        </w:tc>
        <w:tc>
          <w:tcPr>
            <w:tcW w:w="3703" w:type="dxa"/>
            <w:tcMar>
              <w:left w:w="45" w:type="dxa"/>
              <w:right w:w="45" w:type="dxa"/>
            </w:tcMar>
            <w:vAlign w:val="center"/>
          </w:tcPr>
          <w:p w14:paraId="383C1CF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易制爆化学品存量合规、双人双锁保管</w:t>
            </w:r>
          </w:p>
          <w:p w14:paraId="36A0BE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7F2D4A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（148）</w:t>
            </w:r>
            <w:r>
              <w:rPr>
                <w:rFonts w:hint="default" w:ascii="Times New Roman" w:hAnsi="Times New Roman" w:eastAsia="仿宋_GB2312" w:cs="Times New Roman"/>
                <w:b/>
                <w:bCs/>
                <w:color w:val="auto"/>
                <w:kern w:val="0"/>
              </w:rPr>
              <w:t>易制爆化学品存量合规，单个储存室或者储存柜储存量不超过50kg</w:t>
            </w:r>
            <w:r>
              <w:rPr>
                <w:rFonts w:hint="default" w:ascii="Times New Roman" w:hAnsi="Times New Roman" w:eastAsia="仿宋_GB2312" w:cs="Times New Roman"/>
                <w:b/>
                <w:bCs/>
                <w:color w:val="auto"/>
                <w:kern w:val="0"/>
                <w:szCs w:val="21"/>
              </w:rPr>
              <w:t>。</w:t>
            </w:r>
          </w:p>
          <w:p w14:paraId="092EA6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（149）存放场所出入口应设置防盗安全门，或存放在专用储存柜内，储存场所防盗安全级别应为3级（含）以上，专用储存柜应具有防盗功能，符合双人双锁管理要求，台账账册保存期限不少于1年</w:t>
            </w:r>
          </w:p>
        </w:tc>
        <w:tc>
          <w:tcPr>
            <w:tcW w:w="2543" w:type="dxa"/>
            <w:tcMar>
              <w:left w:w="45" w:type="dxa"/>
              <w:right w:w="45" w:type="dxa"/>
            </w:tcMar>
            <w:vAlign w:val="center"/>
          </w:tcPr>
          <w:p w14:paraId="128A03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3BDA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4720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9.5.4</w:t>
            </w:r>
          </w:p>
        </w:tc>
        <w:tc>
          <w:tcPr>
            <w:tcW w:w="3703" w:type="dxa"/>
            <w:tcMar>
              <w:left w:w="45" w:type="dxa"/>
              <w:right w:w="45" w:type="dxa"/>
            </w:tcMar>
            <w:vAlign w:val="center"/>
          </w:tcPr>
          <w:p w14:paraId="26FEA3B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麻醉药品和第一类精神药品管理符合“双人双锁”要求，有专用账册</w:t>
            </w:r>
          </w:p>
        </w:tc>
        <w:tc>
          <w:tcPr>
            <w:tcW w:w="7777" w:type="dxa"/>
            <w:tcMar>
              <w:left w:w="45" w:type="dxa"/>
              <w:right w:w="45" w:type="dxa"/>
            </w:tcMar>
            <w:vAlign w:val="center"/>
          </w:tcPr>
          <w:p w14:paraId="0996D7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（150）设立专库或者专柜储存，专库应当设有防盗设施并安装报警装置，专柜应当使用保险柜，专库和专柜应当实行双人双锁管理。</w:t>
            </w:r>
          </w:p>
          <w:p w14:paraId="7F7E18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（151）配备专人管理并建立专用账册，专用账册的保存期限应当自药品有效期期满之日起不少于5年</w:t>
            </w:r>
          </w:p>
        </w:tc>
        <w:tc>
          <w:tcPr>
            <w:tcW w:w="2543" w:type="dxa"/>
            <w:tcMar>
              <w:left w:w="45" w:type="dxa"/>
              <w:right w:w="45" w:type="dxa"/>
            </w:tcMar>
            <w:vAlign w:val="center"/>
          </w:tcPr>
          <w:p w14:paraId="37C51E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0515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C313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9.5.5</w:t>
            </w:r>
          </w:p>
        </w:tc>
        <w:tc>
          <w:tcPr>
            <w:tcW w:w="3703" w:type="dxa"/>
            <w:tcMar>
              <w:left w:w="45" w:type="dxa"/>
              <w:right w:w="45" w:type="dxa"/>
            </w:tcMar>
            <w:vAlign w:val="center"/>
          </w:tcPr>
          <w:p w14:paraId="385F759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爆炸品单独隔离、限量存储，使用、销毁按照公安部门的要求执行</w:t>
            </w:r>
          </w:p>
        </w:tc>
        <w:tc>
          <w:tcPr>
            <w:tcW w:w="7777" w:type="dxa"/>
            <w:tcMar>
              <w:left w:w="45" w:type="dxa"/>
              <w:right w:w="45" w:type="dxa"/>
            </w:tcMar>
            <w:vAlign w:val="center"/>
          </w:tcPr>
          <w:p w14:paraId="313289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（152）收存和发放民用爆炸物品必须进行登记，做到账目清楚，账物相符</w:t>
            </w:r>
          </w:p>
        </w:tc>
        <w:tc>
          <w:tcPr>
            <w:tcW w:w="2543" w:type="dxa"/>
            <w:tcMar>
              <w:left w:w="45" w:type="dxa"/>
              <w:right w:w="45" w:type="dxa"/>
            </w:tcMar>
            <w:vAlign w:val="center"/>
          </w:tcPr>
          <w:p w14:paraId="364E552A">
            <w:pPr>
              <w:pageBreakBefore w:val="0"/>
              <w:widowControl/>
              <w:kinsoku/>
              <w:wordWrap/>
              <w:overflowPunct/>
              <w:topLinePunct w:val="0"/>
              <w:bidi w:val="0"/>
              <w:snapToGrid/>
              <w:spacing w:after="0" w:line="300" w:lineRule="exact"/>
              <w:jc w:val="left"/>
              <w:textAlignment w:val="auto"/>
              <w:rPr>
                <w:rFonts w:hint="default" w:ascii="Times New Roman" w:hAnsi="Times New Roman" w:eastAsia="仿宋_GB2312" w:cs="Times New Roman"/>
                <w:color w:val="auto"/>
                <w:kern w:val="0"/>
                <w:szCs w:val="21"/>
              </w:rPr>
            </w:pPr>
          </w:p>
        </w:tc>
      </w:tr>
      <w:tr w14:paraId="46CA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F184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bCs/>
                <w:color w:val="auto"/>
                <w:kern w:val="0"/>
                <w:szCs w:val="21"/>
              </w:rPr>
              <w:t>9.6</w:t>
            </w:r>
          </w:p>
        </w:tc>
        <w:tc>
          <w:tcPr>
            <w:tcW w:w="14023" w:type="dxa"/>
            <w:gridSpan w:val="3"/>
            <w:tcMar>
              <w:left w:w="45" w:type="dxa"/>
              <w:right w:w="45" w:type="dxa"/>
            </w:tcMar>
            <w:vAlign w:val="center"/>
          </w:tcPr>
          <w:p w14:paraId="47562A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实验气体管理</w:t>
            </w:r>
          </w:p>
        </w:tc>
      </w:tr>
      <w:tr w14:paraId="2418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CEB8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9.6.1</w:t>
            </w:r>
          </w:p>
        </w:tc>
        <w:tc>
          <w:tcPr>
            <w:tcW w:w="3703" w:type="dxa"/>
            <w:tcMar>
              <w:left w:w="45" w:type="dxa"/>
              <w:right w:w="45" w:type="dxa"/>
            </w:tcMar>
            <w:vAlign w:val="center"/>
          </w:tcPr>
          <w:p w14:paraId="0AC6CE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从合格供应商处采购实验气体，建立气体（气瓶）台账</w:t>
            </w:r>
          </w:p>
        </w:tc>
        <w:tc>
          <w:tcPr>
            <w:tcW w:w="7777" w:type="dxa"/>
            <w:tcMar>
              <w:left w:w="45" w:type="dxa"/>
              <w:right w:w="45" w:type="dxa"/>
            </w:tcMar>
            <w:vAlign w:val="center"/>
          </w:tcPr>
          <w:p w14:paraId="30D2E1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（153）查看记录</w:t>
            </w:r>
          </w:p>
          <w:p w14:paraId="408317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c>
          <w:tcPr>
            <w:tcW w:w="2543" w:type="dxa"/>
            <w:tcMar>
              <w:left w:w="45" w:type="dxa"/>
              <w:right w:w="45" w:type="dxa"/>
            </w:tcMar>
            <w:vAlign w:val="center"/>
          </w:tcPr>
          <w:p w14:paraId="60F45F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987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2032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9.6.2</w:t>
            </w:r>
          </w:p>
        </w:tc>
        <w:tc>
          <w:tcPr>
            <w:tcW w:w="3703" w:type="dxa"/>
            <w:tcMar>
              <w:left w:w="45" w:type="dxa"/>
              <w:right w:w="45" w:type="dxa"/>
            </w:tcMar>
            <w:vAlign w:val="center"/>
          </w:tcPr>
          <w:p w14:paraId="54727A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气体（气瓶）的存放和使用符合相关要求</w:t>
            </w:r>
          </w:p>
        </w:tc>
        <w:tc>
          <w:tcPr>
            <w:tcW w:w="7777" w:type="dxa"/>
            <w:tcMar>
              <w:left w:w="45" w:type="dxa"/>
              <w:right w:w="45" w:type="dxa"/>
            </w:tcMar>
            <w:vAlign w:val="center"/>
          </w:tcPr>
          <w:p w14:paraId="39FC493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（154）气体（气瓶）存放点须通风、远离热源、避免暴晒，地面平整干燥。</w:t>
            </w:r>
          </w:p>
          <w:p w14:paraId="339FCF8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（155）气瓶应合理固定。</w:t>
            </w:r>
          </w:p>
          <w:p w14:paraId="35D4A22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（156）危险气体气瓶尽量置于室外，室内放置应使用常时排风且带监测报警装置的气瓶柜。</w:t>
            </w:r>
          </w:p>
          <w:p w14:paraId="4BDD4E8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（157）气瓶的存放应控制在最小需求量。</w:t>
            </w:r>
          </w:p>
          <w:p w14:paraId="4FBA904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（158）</w:t>
            </w:r>
            <w:r>
              <w:rPr>
                <w:rFonts w:hint="default" w:ascii="Times New Roman" w:hAnsi="Times New Roman" w:eastAsia="仿宋_GB2312" w:cs="Times New Roman"/>
                <w:b/>
                <w:bCs/>
                <w:color w:val="auto"/>
                <w:kern w:val="0"/>
                <w:szCs w:val="21"/>
              </w:rPr>
              <w:t>涉及有毒、可燃气体的场所，配有通风设施和相应的气体监测和报警装置等，张贴必要的安全警示标志。</w:t>
            </w:r>
          </w:p>
          <w:p w14:paraId="132433D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（159）可燃性气体与氧气等助燃气体气瓶不得混放。</w:t>
            </w:r>
          </w:p>
          <w:p w14:paraId="255B8EC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（160）独立的气体气瓶室应通风、不混放、有监控，有专人管理和记录。</w:t>
            </w:r>
          </w:p>
          <w:p w14:paraId="2A421FA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（161）有供应商提供的气瓶定期检验合格标识，无超过检验有效期的气瓶、无超过设计年限的气瓶。</w:t>
            </w:r>
          </w:p>
          <w:p w14:paraId="21B62E6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（162）气瓶颜色符合GB/T 7144《气瓶颜色标志》的规定，确认“满”“使用中”“空瓶”三种状态。</w:t>
            </w:r>
          </w:p>
          <w:p w14:paraId="4D310F2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（163）使用完毕，应及时关闭气瓶总阀。</w:t>
            </w:r>
          </w:p>
          <w:p w14:paraId="796C35D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（164）气瓶附件齐全</w:t>
            </w:r>
          </w:p>
        </w:tc>
        <w:tc>
          <w:tcPr>
            <w:tcW w:w="2543" w:type="dxa"/>
            <w:tcMar>
              <w:left w:w="45" w:type="dxa"/>
              <w:right w:w="45" w:type="dxa"/>
            </w:tcMar>
            <w:vAlign w:val="center"/>
          </w:tcPr>
          <w:p w14:paraId="31BF56DA">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r>
      <w:tr w14:paraId="1675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34A7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9.6.3</w:t>
            </w:r>
          </w:p>
        </w:tc>
        <w:tc>
          <w:tcPr>
            <w:tcW w:w="3703" w:type="dxa"/>
            <w:tcMar>
              <w:left w:w="45" w:type="dxa"/>
              <w:right w:w="45" w:type="dxa"/>
            </w:tcMar>
            <w:vAlign w:val="center"/>
          </w:tcPr>
          <w:p w14:paraId="6D03134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在较小密封空间使用可引起窒息的气体，须安装氧含量监测</w:t>
            </w:r>
            <w:r>
              <w:rPr>
                <w:rFonts w:hint="default" w:ascii="Times New Roman" w:hAnsi="Times New Roman" w:eastAsia="仿宋_GB2312" w:cs="Times New Roman"/>
                <w:color w:val="auto"/>
                <w:kern w:val="0"/>
                <w:szCs w:val="21"/>
              </w:rPr>
              <w:t>报警装置</w:t>
            </w:r>
          </w:p>
        </w:tc>
        <w:tc>
          <w:tcPr>
            <w:tcW w:w="7777" w:type="dxa"/>
            <w:tcMar>
              <w:left w:w="45" w:type="dxa"/>
              <w:right w:w="45" w:type="dxa"/>
            </w:tcMar>
            <w:vAlign w:val="center"/>
          </w:tcPr>
          <w:p w14:paraId="6003A7B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（165）在存有大量无毒窒息性压缩气体或液化气体（液氮、液氩）的较小密闭空间，为</w:t>
            </w:r>
            <w:r>
              <w:rPr>
                <w:rFonts w:hint="default" w:ascii="Times New Roman" w:hAnsi="Times New Roman" w:eastAsia="仿宋_GB2312" w:cs="Times New Roman"/>
                <w:bCs/>
                <w:color w:val="auto"/>
                <w:kern w:val="0"/>
                <w:szCs w:val="21"/>
              </w:rPr>
              <w:t>防止气体大量泄漏或蒸发导致缺氧，</w:t>
            </w:r>
            <w:r>
              <w:rPr>
                <w:rFonts w:hint="default" w:ascii="Times New Roman" w:hAnsi="Times New Roman" w:eastAsia="仿宋_GB2312" w:cs="Times New Roman"/>
                <w:color w:val="auto"/>
                <w:szCs w:val="21"/>
              </w:rPr>
              <w:t>须安装氧含量监测报警装置。如，实验室存放1瓶常见规格40L公称体积，15MPa公称压力的窒息性气体气瓶，实验室层高2.8m时的临界面积为28m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，层高2.6m时的临界面积为30 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；实验室存放10L体积液氮（液态密度0.808 g·mL</w:t>
            </w:r>
            <w:r>
              <w:rPr>
                <w:rFonts w:hint="default" w:ascii="Times New Roman" w:hAnsi="Times New Roman" w:eastAsia="仿宋_GB2312" w:cs="Times New Roman"/>
                <w:color w:val="auto"/>
                <w:szCs w:val="21"/>
                <w:vertAlign w:val="superscript"/>
              </w:rPr>
              <w:t>–1</w:t>
            </w:r>
            <w:r>
              <w:rPr>
                <w:rFonts w:hint="default" w:ascii="Times New Roman" w:hAnsi="Times New Roman" w:eastAsia="仿宋_GB2312" w:cs="Times New Roman"/>
                <w:color w:val="auto"/>
                <w:szCs w:val="21"/>
              </w:rPr>
              <w:t>），实验室层高2.8m时的临界面积为30m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，层高2.6m时的临界面积为35 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344C1E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F03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36C6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9.6.4</w:t>
            </w:r>
          </w:p>
        </w:tc>
        <w:tc>
          <w:tcPr>
            <w:tcW w:w="3703" w:type="dxa"/>
            <w:tcMar>
              <w:left w:w="45" w:type="dxa"/>
              <w:right w:w="45" w:type="dxa"/>
            </w:tcMar>
            <w:vAlign w:val="center"/>
          </w:tcPr>
          <w:p w14:paraId="5511D2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气体管路和气瓶连接正确、有清晰的标识</w:t>
            </w:r>
          </w:p>
        </w:tc>
        <w:tc>
          <w:tcPr>
            <w:tcW w:w="7777" w:type="dxa"/>
            <w:tcMar>
              <w:left w:w="45" w:type="dxa"/>
              <w:right w:w="45" w:type="dxa"/>
            </w:tcMar>
            <w:vAlign w:val="center"/>
          </w:tcPr>
          <w:p w14:paraId="2255B1D0">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（166）管路材质选择合适，无破损或老化现象，定期进行气密性检查；存在多条气体管路的房间须张贴详细的管路图，管路标识正确</w:t>
            </w:r>
          </w:p>
        </w:tc>
        <w:tc>
          <w:tcPr>
            <w:tcW w:w="2543" w:type="dxa"/>
            <w:tcMar>
              <w:left w:w="45" w:type="dxa"/>
              <w:right w:w="45" w:type="dxa"/>
            </w:tcMar>
            <w:vAlign w:val="center"/>
          </w:tcPr>
          <w:p w14:paraId="23F870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05F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646D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9.7</w:t>
            </w:r>
          </w:p>
        </w:tc>
        <w:tc>
          <w:tcPr>
            <w:tcW w:w="14023" w:type="dxa"/>
            <w:gridSpan w:val="3"/>
            <w:tcMar>
              <w:left w:w="45" w:type="dxa"/>
              <w:right w:w="45" w:type="dxa"/>
            </w:tcMar>
            <w:vAlign w:val="center"/>
          </w:tcPr>
          <w:p w14:paraId="46FD055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实验室化学废弃物的收集、分类和转运</w:t>
            </w:r>
          </w:p>
        </w:tc>
      </w:tr>
      <w:tr w14:paraId="5E1B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E938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9.7.1</w:t>
            </w:r>
          </w:p>
        </w:tc>
        <w:tc>
          <w:tcPr>
            <w:tcW w:w="3703" w:type="dxa"/>
            <w:tcMar>
              <w:left w:w="45" w:type="dxa"/>
              <w:right w:w="45" w:type="dxa"/>
            </w:tcMar>
            <w:vAlign w:val="center"/>
          </w:tcPr>
          <w:p w14:paraId="6632C2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实验室应设立化学废弃物暂存区</w:t>
            </w:r>
          </w:p>
        </w:tc>
        <w:tc>
          <w:tcPr>
            <w:tcW w:w="7777" w:type="dxa"/>
            <w:tcMar>
              <w:left w:w="45" w:type="dxa"/>
              <w:right w:w="45" w:type="dxa"/>
            </w:tcMar>
            <w:vAlign w:val="center"/>
          </w:tcPr>
          <w:p w14:paraId="28C53C9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（167）暂存区应远离火源、热源和不相容物质，避免日晒、雨淋，存放两种及以上不相容的实验室危险废物时，应分不同区域。</w:t>
            </w:r>
          </w:p>
          <w:p w14:paraId="5E2E832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（168）暂存区应有警示标志并有防遗洒、防渗漏设施或措施</w:t>
            </w:r>
          </w:p>
        </w:tc>
        <w:tc>
          <w:tcPr>
            <w:tcW w:w="2543" w:type="dxa"/>
            <w:tcMar>
              <w:left w:w="45" w:type="dxa"/>
              <w:right w:w="45" w:type="dxa"/>
            </w:tcMar>
            <w:vAlign w:val="center"/>
          </w:tcPr>
          <w:p w14:paraId="667F38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F7F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A276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9.7.2</w:t>
            </w:r>
          </w:p>
        </w:tc>
        <w:tc>
          <w:tcPr>
            <w:tcW w:w="3703" w:type="dxa"/>
            <w:tcMar>
              <w:left w:w="45" w:type="dxa"/>
              <w:right w:w="45" w:type="dxa"/>
            </w:tcMar>
            <w:vAlign w:val="center"/>
          </w:tcPr>
          <w:p w14:paraId="1ACB80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实验室内须规范收集化学废弃物</w:t>
            </w:r>
          </w:p>
        </w:tc>
        <w:tc>
          <w:tcPr>
            <w:tcW w:w="7777" w:type="dxa"/>
            <w:tcMar>
              <w:left w:w="45" w:type="dxa"/>
              <w:right w:w="45" w:type="dxa"/>
            </w:tcMar>
            <w:vAlign w:val="center"/>
          </w:tcPr>
          <w:p w14:paraId="2DA3244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（169）危险废物应按化学特性和危险特性，进行分类收集和暂存，通常条件下不稳定物质必须稳定化处理后才能进入危废处理流程。</w:t>
            </w:r>
          </w:p>
          <w:p w14:paraId="6C902B2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（170）废弃的化学试剂应存放在原试剂瓶中，保留原标签，且瓶口朝上放入专用固废箱中。</w:t>
            </w:r>
          </w:p>
          <w:p w14:paraId="0F644C1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（171）针头等利器须放入利器盒中收集。</w:t>
            </w:r>
          </w:p>
          <w:p w14:paraId="26227D0B">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（172）废液应分类装入专用废液桶中，液面不超过容量的3/4。废液桶须满足耐腐蚀、抗溶剂、耐挤压、抗冲击的要求。</w:t>
            </w:r>
          </w:p>
          <w:p w14:paraId="1C750E7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（173）实验室危险废物收集容器上应粘贴危险废物信息标签、警示标识。</w:t>
            </w:r>
          </w:p>
          <w:p w14:paraId="6A594FE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（174）严禁将实验室危险废物直接排入下水道，严禁与生活垃圾、感染性废物或放射性废物等混装</w:t>
            </w:r>
          </w:p>
        </w:tc>
        <w:tc>
          <w:tcPr>
            <w:tcW w:w="2543" w:type="dxa"/>
            <w:tcMar>
              <w:left w:w="45" w:type="dxa"/>
              <w:right w:w="45" w:type="dxa"/>
            </w:tcMar>
            <w:vAlign w:val="center"/>
          </w:tcPr>
          <w:p w14:paraId="280511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81E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42195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9.7.3</w:t>
            </w:r>
          </w:p>
        </w:tc>
        <w:tc>
          <w:tcPr>
            <w:tcW w:w="3703" w:type="dxa"/>
            <w:tcMar>
              <w:left w:w="45" w:type="dxa"/>
              <w:right w:w="45" w:type="dxa"/>
            </w:tcMar>
            <w:vAlign w:val="center"/>
          </w:tcPr>
          <w:p w14:paraId="1A108A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学校应建设化学废弃物贮存站并规范管理</w:t>
            </w:r>
          </w:p>
        </w:tc>
        <w:tc>
          <w:tcPr>
            <w:tcW w:w="7777" w:type="dxa"/>
            <w:tcMar>
              <w:left w:w="45" w:type="dxa"/>
              <w:right w:w="45" w:type="dxa"/>
            </w:tcMar>
            <w:vAlign w:val="center"/>
          </w:tcPr>
          <w:p w14:paraId="02C5B7D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（175）贮存设施、场所应当按照规定设置危险废物识别标志，存储装置符合GB/T 41962《实验室废弃物存储装置技术规范》的要求，易燃废弃物室外存储装置的单套内部面积应不大于30m</w:t>
            </w:r>
            <w:r>
              <w:rPr>
                <w:rFonts w:hint="default" w:ascii="Times New Roman" w:hAnsi="Times New Roman" w:eastAsia="仿宋_GB2312" w:cs="Times New Roman"/>
                <w:color w:val="auto"/>
                <w:kern w:val="0"/>
                <w:szCs w:val="21"/>
                <w:vertAlign w:val="superscript"/>
              </w:rPr>
              <w:t>2</w:t>
            </w:r>
            <w:r>
              <w:rPr>
                <w:rFonts w:hint="default" w:ascii="Times New Roman" w:hAnsi="Times New Roman" w:eastAsia="仿宋_GB2312" w:cs="Times New Roman"/>
                <w:color w:val="auto"/>
                <w:kern w:val="0"/>
                <w:szCs w:val="21"/>
              </w:rPr>
              <w:t>、高应不大于3m（尺寸误差应不大于10%），并在通风口处设置防火阀，公称动作温度为70</w:t>
            </w:r>
            <w:r>
              <w:rPr>
                <w:rFonts w:hint="default" w:ascii="Times New Roman" w:hAnsi="Times New Roman" w:eastAsia="仿宋_GB2312" w:cs="Times New Roman"/>
                <w:color w:val="auto"/>
                <w:sz w:val="24"/>
              </w:rPr>
              <w:t>°C</w:t>
            </w:r>
            <w:r>
              <w:rPr>
                <w:rFonts w:hint="default" w:ascii="Times New Roman" w:hAnsi="Times New Roman" w:eastAsia="仿宋_GB2312" w:cs="Times New Roman"/>
                <w:color w:val="auto"/>
                <w:kern w:val="0"/>
                <w:szCs w:val="21"/>
              </w:rPr>
              <w:t>。</w:t>
            </w:r>
          </w:p>
          <w:p w14:paraId="01D87D8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（176）贮存站应有具体的管理办法并将贮存站安全运行、实验室危险废物出站转运等日常管理工作落实到相关人员的岗位职责中。</w:t>
            </w:r>
          </w:p>
          <w:p w14:paraId="2F5D69D7">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（177）制定意外事故的防范措施和应急预案</w:t>
            </w:r>
            <w:r>
              <w:rPr>
                <w:rFonts w:hint="default" w:ascii="Times New Roman" w:hAnsi="Times New Roman" w:eastAsia="仿宋_GB2312" w:cs="Times New Roman"/>
                <w:color w:val="auto"/>
                <w:kern w:val="0"/>
                <w:szCs w:val="21"/>
              </w:rPr>
              <w:t>，并向所在地生态环境主管部门</w:t>
            </w:r>
            <w:r>
              <w:rPr>
                <w:rFonts w:hint="default" w:ascii="Times New Roman" w:hAnsi="Times New Roman" w:eastAsia="仿宋_GB2312" w:cs="Times New Roman"/>
                <w:bCs/>
                <w:color w:val="auto"/>
                <w:kern w:val="0"/>
                <w:szCs w:val="21"/>
              </w:rPr>
              <w:t>备案</w:t>
            </w:r>
          </w:p>
        </w:tc>
        <w:tc>
          <w:tcPr>
            <w:tcW w:w="2543" w:type="dxa"/>
            <w:tcMar>
              <w:left w:w="45" w:type="dxa"/>
              <w:right w:w="45" w:type="dxa"/>
            </w:tcMar>
            <w:vAlign w:val="center"/>
          </w:tcPr>
          <w:p w14:paraId="015382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4E2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9810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9.7.4</w:t>
            </w:r>
          </w:p>
        </w:tc>
        <w:tc>
          <w:tcPr>
            <w:tcW w:w="3703" w:type="dxa"/>
            <w:tcMar>
              <w:left w:w="45" w:type="dxa"/>
              <w:right w:w="45" w:type="dxa"/>
            </w:tcMar>
            <w:vAlign w:val="center"/>
          </w:tcPr>
          <w:p w14:paraId="47526D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化学废弃物的转运须合规</w:t>
            </w:r>
          </w:p>
        </w:tc>
        <w:tc>
          <w:tcPr>
            <w:tcW w:w="7777" w:type="dxa"/>
            <w:tcMar>
              <w:left w:w="45" w:type="dxa"/>
              <w:right w:w="45" w:type="dxa"/>
            </w:tcMar>
            <w:vAlign w:val="center"/>
          </w:tcPr>
          <w:p w14:paraId="6F80CD2C">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（178）委托有危险废物处置资质的专业厂家集中处置化学废弃物，并查看协议。</w:t>
            </w:r>
          </w:p>
          <w:p w14:paraId="51393F7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（179）</w:t>
            </w:r>
            <w:r>
              <w:rPr>
                <w:rFonts w:hint="default" w:ascii="Times New Roman" w:hAnsi="Times New Roman" w:eastAsia="仿宋_GB2312" w:cs="Times New Roman"/>
                <w:bCs/>
                <w:color w:val="auto"/>
                <w:kern w:val="0"/>
                <w:szCs w:val="21"/>
              </w:rPr>
              <w:t>建立危险废物管理台账</w:t>
            </w:r>
            <w:r>
              <w:rPr>
                <w:rFonts w:hint="default" w:ascii="Times New Roman" w:hAnsi="Times New Roman" w:eastAsia="仿宋_GB2312" w:cs="Times New Roman"/>
                <w:color w:val="auto"/>
                <w:kern w:val="0"/>
                <w:szCs w:val="21"/>
              </w:rPr>
              <w:t>，如实记录有关信息，包括种类、产生量、流向、贮存、处置等有关资料。</w:t>
            </w:r>
          </w:p>
          <w:p w14:paraId="4FC8ECE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（180）校外转运之前，贮存站必须妥善管理实验室危险废物，采取有效措施，防止废物的扬散、流失、渗漏或造成其他环境污染。</w:t>
            </w:r>
          </w:p>
          <w:p w14:paraId="22D7F83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（181）转运人员应使用专用运输工具，运输前根据运输废物的危险特性，应携带必要的应急物资和个体防护用具，如收集工具、手套、口罩等。</w:t>
            </w:r>
          </w:p>
          <w:p w14:paraId="21CD1D81">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（182）实验室危险废物的校外转运必须按照国家有关规定填写危险废物电子或者纸质转移联单，任何单位和个人未经许可不得非法转运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14:paraId="4AE49A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79D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83EF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w:t>
            </w:r>
          </w:p>
        </w:tc>
        <w:tc>
          <w:tcPr>
            <w:tcW w:w="14023" w:type="dxa"/>
            <w:gridSpan w:val="3"/>
            <w:tcMar>
              <w:left w:w="45" w:type="dxa"/>
              <w:right w:w="45" w:type="dxa"/>
            </w:tcMar>
            <w:vAlign w:val="center"/>
          </w:tcPr>
          <w:p w14:paraId="53C1A7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生物安全</w:t>
            </w:r>
          </w:p>
        </w:tc>
      </w:tr>
      <w:tr w14:paraId="26CA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5C61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10.1</w:t>
            </w:r>
          </w:p>
        </w:tc>
        <w:tc>
          <w:tcPr>
            <w:tcW w:w="14023" w:type="dxa"/>
            <w:gridSpan w:val="3"/>
            <w:tcMar>
              <w:left w:w="45" w:type="dxa"/>
              <w:right w:w="45" w:type="dxa"/>
            </w:tcMar>
            <w:vAlign w:val="center"/>
          </w:tcPr>
          <w:p w14:paraId="52C688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实验室生物安全等级</w:t>
            </w:r>
          </w:p>
        </w:tc>
      </w:tr>
      <w:tr w14:paraId="20E4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80507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10.1.1</w:t>
            </w:r>
          </w:p>
        </w:tc>
        <w:tc>
          <w:tcPr>
            <w:tcW w:w="3703" w:type="dxa"/>
            <w:tcMar>
              <w:left w:w="45" w:type="dxa"/>
              <w:right w:w="45" w:type="dxa"/>
            </w:tcMar>
            <w:vAlign w:val="center"/>
          </w:tcPr>
          <w:p w14:paraId="790D9A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开展病原微生物实验教学科研的实验室，须具备相应的安全等级资质</w:t>
            </w:r>
          </w:p>
        </w:tc>
        <w:tc>
          <w:tcPr>
            <w:tcW w:w="7777" w:type="dxa"/>
            <w:tcMar>
              <w:left w:w="45" w:type="dxa"/>
              <w:right w:w="45" w:type="dxa"/>
            </w:tcMar>
            <w:vAlign w:val="center"/>
          </w:tcPr>
          <w:p w14:paraId="6481AB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（183）</w:t>
            </w:r>
            <w:r>
              <w:rPr>
                <w:rFonts w:hint="default" w:ascii="Times New Roman" w:hAnsi="Times New Roman" w:eastAsia="仿宋_GB2312" w:cs="Times New Roman"/>
                <w:b/>
                <w:bCs w:val="0"/>
                <w:color w:val="auto"/>
                <w:kern w:val="0"/>
                <w:szCs w:val="21"/>
              </w:rPr>
              <w:t>有生物安全实验室的高校须按监管要求建立生物安全委员会等组织机构并依规履职。</w:t>
            </w:r>
            <w:r>
              <w:rPr>
                <w:rFonts w:hint="default" w:ascii="Times New Roman" w:hAnsi="Times New Roman" w:eastAsia="仿宋_GB2312" w:cs="Times New Roman"/>
                <w:bCs/>
                <w:color w:val="auto"/>
                <w:kern w:val="0"/>
                <w:szCs w:val="21"/>
              </w:rPr>
              <w:t>BSL-3/ABSL-3 、 BSL-4/ABSL-4 实 验 室 须 经 政 府 部 门 批 准 建 设 ， BSL-1/ABSL-1、BSL-2/ABSL-2 实验室由学校建设后报设区的市卫生                  或农业农村部门备案</w:t>
            </w:r>
          </w:p>
        </w:tc>
        <w:tc>
          <w:tcPr>
            <w:tcW w:w="2543" w:type="dxa"/>
            <w:tcMar>
              <w:left w:w="45" w:type="dxa"/>
              <w:right w:w="45" w:type="dxa"/>
            </w:tcMar>
            <w:vAlign w:val="center"/>
          </w:tcPr>
          <w:p w14:paraId="3BF744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C97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E644A6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10.1.2</w:t>
            </w:r>
          </w:p>
        </w:tc>
        <w:tc>
          <w:tcPr>
            <w:tcW w:w="3703" w:type="dxa"/>
            <w:tcMar>
              <w:left w:w="45" w:type="dxa"/>
              <w:right w:w="45" w:type="dxa"/>
            </w:tcMar>
            <w:vAlign w:val="center"/>
          </w:tcPr>
          <w:p w14:paraId="5B7C14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在相应等级的实验室开展涉及致病性生物因子的实验活动</w:t>
            </w:r>
          </w:p>
          <w:p w14:paraId="79CE3A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0B2497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（184）以国家法律、法规、标准、规范，以及权威机构发布的指南、数据等为依据</w:t>
            </w:r>
            <w:r>
              <w:rPr>
                <w:rFonts w:hint="default" w:ascii="Times New Roman" w:hAnsi="Times New Roman" w:eastAsia="仿宋_GB2312" w:cs="Times New Roman"/>
                <w:color w:val="auto"/>
                <w:kern w:val="0"/>
                <w:szCs w:val="21"/>
              </w:rPr>
              <w:t>，对涉及的致病性生物因子进行风险评估，实验室生物安全级别不低于国家发布的病原微生物目录要求</w:t>
            </w:r>
          </w:p>
        </w:tc>
        <w:tc>
          <w:tcPr>
            <w:tcW w:w="2543" w:type="dxa"/>
            <w:tcMar>
              <w:left w:w="45" w:type="dxa"/>
              <w:right w:w="45" w:type="dxa"/>
            </w:tcMar>
            <w:vAlign w:val="center"/>
          </w:tcPr>
          <w:p w14:paraId="282655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5D7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FFF1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10.2</w:t>
            </w:r>
          </w:p>
        </w:tc>
        <w:tc>
          <w:tcPr>
            <w:tcW w:w="14023" w:type="dxa"/>
            <w:gridSpan w:val="3"/>
            <w:tcMar>
              <w:left w:w="45" w:type="dxa"/>
              <w:right w:w="45" w:type="dxa"/>
            </w:tcMar>
            <w:vAlign w:val="center"/>
          </w:tcPr>
          <w:p w14:paraId="5B3767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场所与设施</w:t>
            </w:r>
          </w:p>
        </w:tc>
      </w:tr>
      <w:tr w14:paraId="62B5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B031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10.2.1</w:t>
            </w:r>
          </w:p>
        </w:tc>
        <w:tc>
          <w:tcPr>
            <w:tcW w:w="3703" w:type="dxa"/>
            <w:tcMar>
              <w:left w:w="45" w:type="dxa"/>
              <w:right w:w="45" w:type="dxa"/>
            </w:tcMar>
            <w:vAlign w:val="center"/>
          </w:tcPr>
          <w:p w14:paraId="047F87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实验室安全防范设施达到相应生物安全实验室要求，各区域分布合理、气压符合要求</w:t>
            </w:r>
          </w:p>
        </w:tc>
        <w:tc>
          <w:tcPr>
            <w:tcW w:w="7777" w:type="dxa"/>
            <w:tcMar>
              <w:left w:w="45" w:type="dxa"/>
              <w:right w:w="45" w:type="dxa"/>
            </w:tcMar>
            <w:vAlign w:val="center"/>
          </w:tcPr>
          <w:p w14:paraId="1AAE62D7">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（185）</w:t>
            </w:r>
            <w:r>
              <w:rPr>
                <w:rFonts w:hint="default" w:ascii="Times New Roman" w:hAnsi="Times New Roman" w:eastAsia="仿宋_GB2312" w:cs="Times New Roman"/>
                <w:b/>
                <w:bCs/>
                <w:color w:val="auto"/>
                <w:kern w:val="0"/>
                <w:szCs w:val="21"/>
              </w:rPr>
              <w:t>实验室须设门禁管理和准入制度，储存病原微生物的场所或储柜配备防盗设施</w:t>
            </w:r>
            <w:r>
              <w:rPr>
                <w:rFonts w:hint="default" w:ascii="Times New Roman" w:hAnsi="Times New Roman" w:eastAsia="仿宋_GB2312" w:cs="Times New Roman"/>
                <w:color w:val="auto"/>
                <w:kern w:val="0"/>
                <w:szCs w:val="21"/>
              </w:rPr>
              <w:t>，</w:t>
            </w:r>
            <w:r>
              <w:rPr>
                <w:rFonts w:hint="default" w:ascii="Times New Roman" w:hAnsi="Times New Roman" w:eastAsia="仿宋_GB2312" w:cs="Times New Roman"/>
                <w:color w:val="auto"/>
                <w:kern w:val="0"/>
              </w:rPr>
              <w:t>BSL-3/ABSL-3及以上安全等级实验室须</w:t>
            </w:r>
            <w:r>
              <w:rPr>
                <w:rFonts w:hint="default" w:ascii="Times New Roman" w:hAnsi="Times New Roman" w:eastAsia="仿宋_GB2312" w:cs="Times New Roman"/>
                <w:color w:val="auto"/>
                <w:kern w:val="0"/>
                <w:szCs w:val="21"/>
              </w:rPr>
              <w:t>安装监控报警装置</w:t>
            </w:r>
          </w:p>
        </w:tc>
        <w:tc>
          <w:tcPr>
            <w:tcW w:w="2543" w:type="dxa"/>
            <w:tcMar>
              <w:left w:w="45" w:type="dxa"/>
              <w:right w:w="45" w:type="dxa"/>
            </w:tcMar>
            <w:vAlign w:val="center"/>
          </w:tcPr>
          <w:p w14:paraId="11221850">
            <w:pPr>
              <w:pStyle w:val="11"/>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63CD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42BE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10.2.2</w:t>
            </w:r>
          </w:p>
        </w:tc>
        <w:tc>
          <w:tcPr>
            <w:tcW w:w="3703" w:type="dxa"/>
            <w:tcMar>
              <w:left w:w="45" w:type="dxa"/>
              <w:right w:w="45" w:type="dxa"/>
            </w:tcMar>
            <w:vAlign w:val="center"/>
          </w:tcPr>
          <w:p w14:paraId="6B8B40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配有符合相应要求的生物安全设施</w:t>
            </w:r>
          </w:p>
        </w:tc>
        <w:tc>
          <w:tcPr>
            <w:tcW w:w="7777" w:type="dxa"/>
            <w:tcMar>
              <w:left w:w="45" w:type="dxa"/>
              <w:right w:w="45" w:type="dxa"/>
            </w:tcMar>
            <w:vAlign w:val="center"/>
          </w:tcPr>
          <w:p w14:paraId="75C355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（186）BSL-2以上安全等级实验室须配有II级生物安全柜，ABSL-2适用时配备，并定期进行检测。</w:t>
            </w:r>
            <w:r>
              <w:rPr>
                <w:rFonts w:hint="default" w:ascii="Times New Roman" w:hAnsi="Times New Roman" w:eastAsia="仿宋_GB2312" w:cs="Times New Roman"/>
                <w:bCs/>
                <w:color w:val="auto"/>
                <w:kern w:val="0"/>
                <w:szCs w:val="21"/>
              </w:rPr>
              <w:t>B型生物安全柜不能破坏实验室的整体气流组织。</w:t>
            </w:r>
          </w:p>
          <w:p w14:paraId="2933F1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（187）病原微生物实验室应有可靠和充足的电力供应，配备适用的消防器材、洗眼装置和必要的应急喷淋。</w:t>
            </w:r>
          </w:p>
          <w:p w14:paraId="4111BF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188）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14:paraId="158EF2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（189）生物安全实验室配有压力蒸汽灭菌器，按规定要求监测灭菌效果</w:t>
            </w:r>
          </w:p>
        </w:tc>
        <w:tc>
          <w:tcPr>
            <w:tcW w:w="2543" w:type="dxa"/>
            <w:tcMar>
              <w:left w:w="45" w:type="dxa"/>
              <w:right w:w="45" w:type="dxa"/>
            </w:tcMar>
            <w:vAlign w:val="center"/>
          </w:tcPr>
          <w:p w14:paraId="68BE75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7C1D0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8267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10.2.3</w:t>
            </w:r>
          </w:p>
        </w:tc>
        <w:tc>
          <w:tcPr>
            <w:tcW w:w="3703" w:type="dxa"/>
            <w:tcMar>
              <w:left w:w="45" w:type="dxa"/>
              <w:right w:w="45" w:type="dxa"/>
            </w:tcMar>
            <w:vAlign w:val="center"/>
          </w:tcPr>
          <w:p w14:paraId="64032D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保证消毒和灭菌效果，并注意人员安全</w:t>
            </w:r>
          </w:p>
        </w:tc>
        <w:tc>
          <w:tcPr>
            <w:tcW w:w="7777" w:type="dxa"/>
            <w:tcMar>
              <w:left w:w="45" w:type="dxa"/>
              <w:right w:w="45" w:type="dxa"/>
            </w:tcMar>
            <w:vAlign w:val="center"/>
          </w:tcPr>
          <w:p w14:paraId="5A79D8F9">
            <w:pPr>
              <w:pageBreakBefore w:val="0"/>
              <w:widowControl/>
              <w:kinsoku/>
              <w:wordWrap/>
              <w:overflowPunct/>
              <w:topLinePunct w:val="0"/>
              <w:bidi w:val="0"/>
              <w:snapToGrid/>
              <w:spacing w:after="0" w:line="300" w:lineRule="exact"/>
              <w:textAlignment w:val="auto"/>
              <w:rPr>
                <w:rFonts w:hint="eastAsia" w:ascii="Times New Roman" w:hAnsi="Times New Roman" w:eastAsia="仿宋_GB2312" w:cs="Times New Roman"/>
                <w:color w:val="auto"/>
                <w:kern w:val="0"/>
                <w:szCs w:val="21"/>
                <w:lang w:eastAsia="zh-CN"/>
              </w:rPr>
            </w:pPr>
            <w:r>
              <w:rPr>
                <w:rFonts w:hint="default" w:ascii="Times New Roman" w:hAnsi="Times New Roman" w:eastAsia="仿宋_GB2312" w:cs="Times New Roman"/>
                <w:color w:val="auto"/>
                <w:kern w:val="0"/>
                <w:szCs w:val="21"/>
              </w:rPr>
              <w:t>（190）有消毒灭菌制度，根据不同病原微生物选择适宜的消毒灭菌方法</w:t>
            </w:r>
            <w:r>
              <w:rPr>
                <w:rFonts w:hint="eastAsia" w:eastAsia="仿宋_GB2312" w:cs="Times New Roman"/>
                <w:color w:val="auto"/>
                <w:kern w:val="0"/>
                <w:szCs w:val="21"/>
                <w:lang w:eastAsia="zh-CN"/>
              </w:rPr>
              <w:t>。</w:t>
            </w:r>
          </w:p>
          <w:p w14:paraId="6BC692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191）使用紫外灯的生物安全实验室应设安全警示标志，尤其要对紫外灯开关张贴警示标识，紫外灯消毒过程中禁止人员进入。采用产生有害气体的消毒方式时应在消毒时间结束后有一定的排风时间，有害气体消散后人员方可进入</w:t>
            </w:r>
          </w:p>
        </w:tc>
        <w:tc>
          <w:tcPr>
            <w:tcW w:w="2543" w:type="dxa"/>
            <w:tcMar>
              <w:left w:w="45" w:type="dxa"/>
              <w:right w:w="45" w:type="dxa"/>
            </w:tcMar>
            <w:vAlign w:val="center"/>
          </w:tcPr>
          <w:p w14:paraId="10E77A2E">
            <w:pPr>
              <w:pStyle w:val="3"/>
              <w:pageBreakBefore w:val="0"/>
              <w:kinsoku/>
              <w:wordWrap/>
              <w:overflowPunct/>
              <w:topLinePunct w:val="0"/>
              <w:bidi w:val="0"/>
              <w:snapToGrid/>
              <w:spacing w:after="0"/>
              <w:jc w:val="both"/>
              <w:textAlignment w:val="auto"/>
              <w:rPr>
                <w:rFonts w:hint="default" w:ascii="Times New Roman" w:hAnsi="Times New Roman" w:eastAsia="仿宋_GB2312" w:cs="Times New Roman"/>
                <w:color w:val="auto"/>
              </w:rPr>
            </w:pPr>
          </w:p>
        </w:tc>
      </w:tr>
      <w:tr w14:paraId="60AF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DF84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10.3</w:t>
            </w:r>
          </w:p>
        </w:tc>
        <w:tc>
          <w:tcPr>
            <w:tcW w:w="14023" w:type="dxa"/>
            <w:gridSpan w:val="3"/>
            <w:tcMar>
              <w:left w:w="45" w:type="dxa"/>
              <w:right w:w="45" w:type="dxa"/>
            </w:tcMar>
            <w:vAlign w:val="center"/>
          </w:tcPr>
          <w:p w14:paraId="588E8A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病原微生物获取与保管</w:t>
            </w:r>
          </w:p>
        </w:tc>
      </w:tr>
      <w:tr w14:paraId="055E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C0CA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10.3.1</w:t>
            </w:r>
          </w:p>
        </w:tc>
        <w:tc>
          <w:tcPr>
            <w:tcW w:w="3703" w:type="dxa"/>
            <w:tcMar>
              <w:left w:w="45" w:type="dxa"/>
              <w:right w:w="45" w:type="dxa"/>
            </w:tcMar>
            <w:vAlign w:val="center"/>
          </w:tcPr>
          <w:p w14:paraId="460498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使用高致病性病原微生物菌（毒）种，须办理相应申请和报批手续</w:t>
            </w:r>
          </w:p>
        </w:tc>
        <w:tc>
          <w:tcPr>
            <w:tcW w:w="7777" w:type="dxa"/>
            <w:tcMar>
              <w:left w:w="45" w:type="dxa"/>
              <w:right w:w="45" w:type="dxa"/>
            </w:tcMar>
            <w:vAlign w:val="center"/>
          </w:tcPr>
          <w:p w14:paraId="366E6D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（192）合规获取病原微生物菌（毒）株，学校应有审批流程。</w:t>
            </w:r>
          </w:p>
          <w:p w14:paraId="07648B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（193）转移和运输高致病病原微生物须按规定报卫生健康或农业农村主管部门批准，并按相应的运输包装要求包装后转移和运输</w:t>
            </w:r>
          </w:p>
        </w:tc>
        <w:tc>
          <w:tcPr>
            <w:tcW w:w="2543" w:type="dxa"/>
            <w:tcMar>
              <w:left w:w="45" w:type="dxa"/>
              <w:right w:w="45" w:type="dxa"/>
            </w:tcMar>
            <w:vAlign w:val="center"/>
          </w:tcPr>
          <w:p w14:paraId="4B1B2F5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FE2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2BFD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10.3.2</w:t>
            </w:r>
          </w:p>
        </w:tc>
        <w:tc>
          <w:tcPr>
            <w:tcW w:w="3703" w:type="dxa"/>
            <w:tcMar>
              <w:left w:w="45" w:type="dxa"/>
              <w:right w:w="45" w:type="dxa"/>
            </w:tcMar>
            <w:vAlign w:val="center"/>
          </w:tcPr>
          <w:p w14:paraId="140F9F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高致病性病原微生物菌（毒）种应妥善保存和严格管理</w:t>
            </w:r>
          </w:p>
        </w:tc>
        <w:tc>
          <w:tcPr>
            <w:tcW w:w="7777" w:type="dxa"/>
            <w:tcMar>
              <w:left w:w="45" w:type="dxa"/>
              <w:right w:w="45" w:type="dxa"/>
            </w:tcMar>
            <w:vAlign w:val="center"/>
          </w:tcPr>
          <w:p w14:paraId="687965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（194）病原微生物菌（毒）种保存在带锁的冰箱中，高致病性病原微生物实行双人双锁管理。有病原微生物菌（毒）种保存、实验使用、销毁的记录</w:t>
            </w:r>
          </w:p>
        </w:tc>
        <w:tc>
          <w:tcPr>
            <w:tcW w:w="2543" w:type="dxa"/>
            <w:tcMar>
              <w:left w:w="45" w:type="dxa"/>
              <w:right w:w="45" w:type="dxa"/>
            </w:tcMar>
            <w:vAlign w:val="center"/>
          </w:tcPr>
          <w:p w14:paraId="373FA6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BE4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410E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10.4</w:t>
            </w:r>
          </w:p>
        </w:tc>
        <w:tc>
          <w:tcPr>
            <w:tcW w:w="14023" w:type="dxa"/>
            <w:gridSpan w:val="3"/>
            <w:tcMar>
              <w:left w:w="45" w:type="dxa"/>
              <w:right w:w="45" w:type="dxa"/>
            </w:tcMar>
            <w:vAlign w:val="center"/>
          </w:tcPr>
          <w:p w14:paraId="6C0ECD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人员管理</w:t>
            </w:r>
          </w:p>
        </w:tc>
      </w:tr>
      <w:tr w14:paraId="3AD5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9B6D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10.4.1</w:t>
            </w:r>
          </w:p>
        </w:tc>
        <w:tc>
          <w:tcPr>
            <w:tcW w:w="3703" w:type="dxa"/>
            <w:tcMar>
              <w:left w:w="45" w:type="dxa"/>
              <w:right w:w="45" w:type="dxa"/>
            </w:tcMar>
            <w:vAlign w:val="center"/>
          </w:tcPr>
          <w:p w14:paraId="2C8F23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开展病原微生物相关实验和研究的人员经过专业培训</w:t>
            </w:r>
          </w:p>
        </w:tc>
        <w:tc>
          <w:tcPr>
            <w:tcW w:w="7777" w:type="dxa"/>
            <w:tcMar>
              <w:left w:w="45" w:type="dxa"/>
              <w:right w:w="45" w:type="dxa"/>
            </w:tcMar>
            <w:vAlign w:val="center"/>
          </w:tcPr>
          <w:p w14:paraId="555EA9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（195）人员经考核合格，并取得证书。</w:t>
            </w:r>
          </w:p>
        </w:tc>
        <w:tc>
          <w:tcPr>
            <w:tcW w:w="2543" w:type="dxa"/>
            <w:tcMar>
              <w:left w:w="45" w:type="dxa"/>
              <w:right w:w="45" w:type="dxa"/>
            </w:tcMar>
            <w:vAlign w:val="center"/>
          </w:tcPr>
          <w:p w14:paraId="402BD1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65B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F2FB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10.4.2</w:t>
            </w:r>
          </w:p>
        </w:tc>
        <w:tc>
          <w:tcPr>
            <w:tcW w:w="3703" w:type="dxa"/>
            <w:tcMar>
              <w:left w:w="45" w:type="dxa"/>
              <w:right w:w="45" w:type="dxa"/>
            </w:tcMar>
            <w:vAlign w:val="center"/>
          </w:tcPr>
          <w:p w14:paraId="7A341A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从事高致病性病原微生物相关实验活动的实验室，应当对实验室工作人员进行健康监测</w:t>
            </w:r>
          </w:p>
        </w:tc>
        <w:tc>
          <w:tcPr>
            <w:tcW w:w="7777" w:type="dxa"/>
            <w:tcMar>
              <w:left w:w="45" w:type="dxa"/>
              <w:right w:w="45" w:type="dxa"/>
            </w:tcMar>
            <w:vAlign w:val="center"/>
          </w:tcPr>
          <w:p w14:paraId="49ED25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（196）实施健康监测和治疗方案，并妥善保存相应的医学记录。</w:t>
            </w:r>
            <w:r>
              <w:rPr>
                <w:rFonts w:hint="default" w:ascii="Times New Roman" w:hAnsi="Times New Roman" w:eastAsia="仿宋_GB2312" w:cs="Times New Roman"/>
                <w:bCs/>
                <w:color w:val="auto"/>
                <w:kern w:val="0"/>
                <w:szCs w:val="21"/>
              </w:rPr>
              <w:t>有上岗前体检和离岗体检，长期工作有定期体检</w:t>
            </w:r>
          </w:p>
        </w:tc>
        <w:tc>
          <w:tcPr>
            <w:tcW w:w="2543" w:type="dxa"/>
            <w:tcMar>
              <w:left w:w="45" w:type="dxa"/>
              <w:right w:w="45" w:type="dxa"/>
            </w:tcMar>
            <w:vAlign w:val="center"/>
          </w:tcPr>
          <w:p w14:paraId="7B0B00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18F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028C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10.4.3</w:t>
            </w:r>
          </w:p>
        </w:tc>
        <w:tc>
          <w:tcPr>
            <w:tcW w:w="3703" w:type="dxa"/>
            <w:tcMar>
              <w:left w:w="45" w:type="dxa"/>
              <w:right w:w="45" w:type="dxa"/>
            </w:tcMar>
            <w:vAlign w:val="center"/>
          </w:tcPr>
          <w:p w14:paraId="587D29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制定相应的人员准入制度</w:t>
            </w:r>
          </w:p>
        </w:tc>
        <w:tc>
          <w:tcPr>
            <w:tcW w:w="7777" w:type="dxa"/>
            <w:tcMar>
              <w:left w:w="45" w:type="dxa"/>
              <w:right w:w="45" w:type="dxa"/>
            </w:tcMar>
            <w:vAlign w:val="center"/>
          </w:tcPr>
          <w:p w14:paraId="7633E6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（197）外来人员进入生物安全实验室须经负责人批准，并有相关的教育培训、安全防控措施</w:t>
            </w:r>
            <w:r>
              <w:rPr>
                <w:rFonts w:hint="default" w:ascii="Times New Roman" w:hAnsi="Times New Roman" w:eastAsia="仿宋_GB2312" w:cs="Times New Roman"/>
                <w:bCs/>
                <w:color w:val="auto"/>
                <w:kern w:val="0"/>
                <w:szCs w:val="21"/>
              </w:rPr>
              <w:t>。出现感冒发热等症状时，不得进行病原微生物实验</w:t>
            </w:r>
          </w:p>
        </w:tc>
        <w:tc>
          <w:tcPr>
            <w:tcW w:w="2543" w:type="dxa"/>
            <w:tcMar>
              <w:left w:w="45" w:type="dxa"/>
              <w:right w:w="45" w:type="dxa"/>
            </w:tcMar>
            <w:vAlign w:val="center"/>
          </w:tcPr>
          <w:p w14:paraId="2A07E6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C55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4E08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10.5</w:t>
            </w:r>
          </w:p>
        </w:tc>
        <w:tc>
          <w:tcPr>
            <w:tcW w:w="14023" w:type="dxa"/>
            <w:gridSpan w:val="3"/>
            <w:tcMar>
              <w:left w:w="45" w:type="dxa"/>
              <w:right w:w="45" w:type="dxa"/>
            </w:tcMar>
            <w:vAlign w:val="center"/>
          </w:tcPr>
          <w:p w14:paraId="7D04B2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操作与管理</w:t>
            </w:r>
          </w:p>
        </w:tc>
      </w:tr>
      <w:tr w14:paraId="2F01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192A7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10.5.1</w:t>
            </w:r>
          </w:p>
        </w:tc>
        <w:tc>
          <w:tcPr>
            <w:tcW w:w="3703" w:type="dxa"/>
            <w:tcMar>
              <w:left w:w="45" w:type="dxa"/>
              <w:right w:w="45" w:type="dxa"/>
            </w:tcMar>
            <w:vAlign w:val="center"/>
          </w:tcPr>
          <w:p w14:paraId="6C6874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制定并采用生物安全手册，有相关标准操作规范</w:t>
            </w:r>
          </w:p>
        </w:tc>
        <w:tc>
          <w:tcPr>
            <w:tcW w:w="7777" w:type="dxa"/>
            <w:tcMar>
              <w:left w:w="45" w:type="dxa"/>
              <w:right w:w="45" w:type="dxa"/>
            </w:tcMar>
            <w:vAlign w:val="center"/>
          </w:tcPr>
          <w:p w14:paraId="40C89C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（198）有从事病原微生物相关实验活动的标准操作规范</w:t>
            </w:r>
          </w:p>
        </w:tc>
        <w:tc>
          <w:tcPr>
            <w:tcW w:w="2543" w:type="dxa"/>
            <w:tcMar>
              <w:left w:w="45" w:type="dxa"/>
              <w:right w:w="45" w:type="dxa"/>
            </w:tcMar>
            <w:vAlign w:val="center"/>
          </w:tcPr>
          <w:p w14:paraId="055508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677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52F3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10.5.2</w:t>
            </w:r>
          </w:p>
        </w:tc>
        <w:tc>
          <w:tcPr>
            <w:tcW w:w="3703" w:type="dxa"/>
            <w:tcMar>
              <w:left w:w="45" w:type="dxa"/>
              <w:right w:w="45" w:type="dxa"/>
            </w:tcMar>
            <w:vAlign w:val="center"/>
          </w:tcPr>
          <w:p w14:paraId="0FC3D8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开展相关实验活动的风险评估和制定相应的应急预案</w:t>
            </w:r>
          </w:p>
        </w:tc>
        <w:tc>
          <w:tcPr>
            <w:tcW w:w="7777" w:type="dxa"/>
            <w:tcMar>
              <w:left w:w="45" w:type="dxa"/>
              <w:right w:w="45" w:type="dxa"/>
            </w:tcMar>
            <w:vAlign w:val="center"/>
          </w:tcPr>
          <w:p w14:paraId="4F0C4F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（199）</w:t>
            </w:r>
            <w:r>
              <w:rPr>
                <w:rFonts w:hint="default" w:ascii="Times New Roman" w:hAnsi="Times New Roman" w:eastAsia="仿宋_GB2312" w:cs="Times New Roman"/>
                <w:b/>
                <w:bCs/>
                <w:color w:val="auto"/>
                <w:kern w:val="0"/>
                <w:szCs w:val="21"/>
              </w:rPr>
              <w:t>开展病原微生物的相关实验活动应有风险评估和应急预案，包括</w:t>
            </w:r>
            <w:r>
              <w:rPr>
                <w:rFonts w:hint="default" w:ascii="Times New Roman" w:hAnsi="Times New Roman" w:eastAsia="仿宋_GB2312" w:cs="Times New Roman"/>
                <w:b/>
                <w:bCs/>
                <w:color w:val="auto"/>
                <w:szCs w:val="21"/>
              </w:rPr>
              <w:t>病原微生物及感染材料溢洒和意外事故的书面处置程序</w:t>
            </w:r>
          </w:p>
        </w:tc>
        <w:tc>
          <w:tcPr>
            <w:tcW w:w="2543" w:type="dxa"/>
            <w:tcMar>
              <w:left w:w="45" w:type="dxa"/>
              <w:right w:w="45" w:type="dxa"/>
            </w:tcMar>
            <w:vAlign w:val="center"/>
          </w:tcPr>
          <w:p w14:paraId="60D731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6FB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0368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10.5.3</w:t>
            </w:r>
          </w:p>
        </w:tc>
        <w:tc>
          <w:tcPr>
            <w:tcW w:w="3703" w:type="dxa"/>
            <w:tcMar>
              <w:left w:w="45" w:type="dxa"/>
              <w:right w:w="45" w:type="dxa"/>
            </w:tcMar>
            <w:vAlign w:val="center"/>
          </w:tcPr>
          <w:p w14:paraId="6ABB19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实验操作合规，安全防护措施合理</w:t>
            </w:r>
          </w:p>
        </w:tc>
        <w:tc>
          <w:tcPr>
            <w:tcW w:w="7777" w:type="dxa"/>
            <w:tcMar>
              <w:left w:w="45" w:type="dxa"/>
              <w:right w:w="45" w:type="dxa"/>
            </w:tcMar>
            <w:vAlign w:val="center"/>
          </w:tcPr>
          <w:p w14:paraId="05804628">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（200）在合适的生物安全柜中进行实验操作</w:t>
            </w:r>
            <w:r>
              <w:rPr>
                <w:rFonts w:hint="default" w:ascii="Times New Roman" w:hAnsi="Times New Roman" w:eastAsia="仿宋_GB2312" w:cs="Times New Roman"/>
                <w:bCs/>
                <w:color w:val="auto"/>
                <w:kern w:val="0"/>
                <w:szCs w:val="21"/>
              </w:rPr>
              <w:t>，不得在超净工作台中进行病原微生物实验。</w:t>
            </w:r>
          </w:p>
          <w:p w14:paraId="6241CCA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（201）应按标准操作规程</w:t>
            </w:r>
            <w:r>
              <w:rPr>
                <w:rFonts w:hint="default" w:ascii="Times New Roman" w:hAnsi="Times New Roman" w:eastAsia="仿宋_GB2312" w:cs="Times New Roman"/>
                <w:color w:val="auto"/>
                <w:kern w:val="0"/>
                <w:szCs w:val="21"/>
              </w:rPr>
              <w:t>安全操作高速离心机等设备，小心防止离心管破损或盖子破裂造成溢洒或气溶胶扩散。</w:t>
            </w:r>
          </w:p>
          <w:p w14:paraId="303F1B5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（202）有合适的个体防护措施，</w:t>
            </w:r>
            <w:r>
              <w:rPr>
                <w:rFonts w:hint="default" w:ascii="Times New Roman" w:hAnsi="Times New Roman" w:eastAsia="仿宋_GB2312" w:cs="Times New Roman"/>
                <w:color w:val="auto"/>
                <w:szCs w:val="21"/>
              </w:rPr>
              <w:t>禁止戴防护手套操作</w:t>
            </w:r>
            <w:r>
              <w:rPr>
                <w:rFonts w:hint="default" w:ascii="Times New Roman" w:hAnsi="Times New Roman" w:eastAsia="仿宋_GB2312" w:cs="Times New Roman"/>
                <w:color w:val="auto"/>
              </w:rPr>
              <w:t>相关实验以外的</w:t>
            </w:r>
            <w:r>
              <w:rPr>
                <w:rFonts w:hint="default" w:ascii="Times New Roman" w:hAnsi="Times New Roman" w:eastAsia="仿宋_GB2312" w:cs="Times New Roman"/>
                <w:color w:val="auto"/>
                <w:szCs w:val="21"/>
              </w:rPr>
              <w:t>设施设备</w:t>
            </w:r>
          </w:p>
        </w:tc>
        <w:tc>
          <w:tcPr>
            <w:tcW w:w="2543" w:type="dxa"/>
            <w:tcMar>
              <w:left w:w="45" w:type="dxa"/>
              <w:right w:w="45" w:type="dxa"/>
            </w:tcMar>
            <w:vAlign w:val="center"/>
          </w:tcPr>
          <w:p w14:paraId="7EF33797">
            <w:pPr>
              <w:pStyle w:val="11"/>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Cs/>
                <w:color w:val="auto"/>
                <w:kern w:val="0"/>
              </w:rPr>
            </w:pPr>
          </w:p>
        </w:tc>
      </w:tr>
      <w:tr w14:paraId="05F8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4556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10.6</w:t>
            </w:r>
          </w:p>
        </w:tc>
        <w:tc>
          <w:tcPr>
            <w:tcW w:w="14023" w:type="dxa"/>
            <w:gridSpan w:val="3"/>
            <w:tcMar>
              <w:left w:w="45" w:type="dxa"/>
              <w:right w:w="45" w:type="dxa"/>
            </w:tcMar>
            <w:vAlign w:val="center"/>
          </w:tcPr>
          <w:p w14:paraId="428EB2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实验动物安全</w:t>
            </w:r>
          </w:p>
        </w:tc>
      </w:tr>
      <w:tr w14:paraId="4488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2DE8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10.6.1</w:t>
            </w:r>
          </w:p>
        </w:tc>
        <w:tc>
          <w:tcPr>
            <w:tcW w:w="3703" w:type="dxa"/>
            <w:tcMar>
              <w:left w:w="45" w:type="dxa"/>
              <w:right w:w="45" w:type="dxa"/>
            </w:tcMar>
            <w:vAlign w:val="center"/>
          </w:tcPr>
          <w:p w14:paraId="0A845F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实验动物的购买、饲养、解剖等须符合相关规定</w:t>
            </w:r>
          </w:p>
        </w:tc>
        <w:tc>
          <w:tcPr>
            <w:tcW w:w="7777" w:type="dxa"/>
            <w:tcMar>
              <w:left w:w="45" w:type="dxa"/>
              <w:right w:w="45" w:type="dxa"/>
            </w:tcMar>
            <w:vAlign w:val="center"/>
          </w:tcPr>
          <w:p w14:paraId="1203DB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（203）饲养实验动物的场所应有资质证书，实验动物须从具有资质的单位购买，有合格证明，</w:t>
            </w:r>
            <w:r>
              <w:rPr>
                <w:rFonts w:hint="default" w:ascii="Times New Roman" w:hAnsi="Times New Roman" w:eastAsia="仿宋_GB2312" w:cs="Times New Roman"/>
                <w:color w:val="auto"/>
                <w:szCs w:val="21"/>
              </w:rPr>
              <w:t>用于解剖的实验动物须经过检验检疫合格。</w:t>
            </w:r>
          </w:p>
          <w:p w14:paraId="3678F6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（204）解剖实验动物时，必须做好个人安全防护。</w:t>
            </w:r>
          </w:p>
          <w:p w14:paraId="523B1F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（205）对直接接触实验动物的工作人员，须定期组织健康检查</w:t>
            </w:r>
          </w:p>
        </w:tc>
        <w:tc>
          <w:tcPr>
            <w:tcW w:w="2543" w:type="dxa"/>
            <w:tcMar>
              <w:left w:w="45" w:type="dxa"/>
              <w:right w:w="45" w:type="dxa"/>
            </w:tcMar>
            <w:vAlign w:val="center"/>
          </w:tcPr>
          <w:p w14:paraId="12DB6C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B3D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2334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10.6.2</w:t>
            </w:r>
          </w:p>
        </w:tc>
        <w:tc>
          <w:tcPr>
            <w:tcW w:w="3703" w:type="dxa"/>
            <w:tcMar>
              <w:left w:w="45" w:type="dxa"/>
              <w:right w:w="45" w:type="dxa"/>
            </w:tcMar>
            <w:vAlign w:val="center"/>
          </w:tcPr>
          <w:p w14:paraId="4392C4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动物实验按相关规定进行实验动物福利伦理审查</w:t>
            </w:r>
          </w:p>
        </w:tc>
        <w:tc>
          <w:tcPr>
            <w:tcW w:w="7777" w:type="dxa"/>
            <w:tcMar>
              <w:left w:w="45" w:type="dxa"/>
              <w:right w:w="45" w:type="dxa"/>
            </w:tcMar>
            <w:vAlign w:val="center"/>
          </w:tcPr>
          <w:p w14:paraId="7D73AE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（206）学校有实验动物福利伦理审查机构，查看审查记录</w:t>
            </w:r>
          </w:p>
        </w:tc>
        <w:tc>
          <w:tcPr>
            <w:tcW w:w="2543" w:type="dxa"/>
            <w:tcMar>
              <w:left w:w="45" w:type="dxa"/>
              <w:right w:w="45" w:type="dxa"/>
            </w:tcMar>
            <w:vAlign w:val="center"/>
          </w:tcPr>
          <w:p w14:paraId="2C2486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A2A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464D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10.7</w:t>
            </w:r>
          </w:p>
        </w:tc>
        <w:tc>
          <w:tcPr>
            <w:tcW w:w="14023" w:type="dxa"/>
            <w:gridSpan w:val="3"/>
            <w:tcMar>
              <w:left w:w="45" w:type="dxa"/>
              <w:right w:w="45" w:type="dxa"/>
            </w:tcMar>
            <w:vAlign w:val="center"/>
          </w:tcPr>
          <w:p w14:paraId="78675B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生物实验废物处置</w:t>
            </w:r>
          </w:p>
        </w:tc>
      </w:tr>
      <w:tr w14:paraId="66C0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93770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10.7.1</w:t>
            </w:r>
          </w:p>
        </w:tc>
        <w:tc>
          <w:tcPr>
            <w:tcW w:w="3703" w:type="dxa"/>
            <w:tcMar>
              <w:left w:w="45" w:type="dxa"/>
              <w:right w:w="45" w:type="dxa"/>
            </w:tcMar>
            <w:vAlign w:val="center"/>
          </w:tcPr>
          <w:p w14:paraId="4F1E1F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生物废弃物的中转和处置规范</w:t>
            </w:r>
          </w:p>
        </w:tc>
        <w:tc>
          <w:tcPr>
            <w:tcW w:w="7777" w:type="dxa"/>
            <w:tcMar>
              <w:left w:w="45" w:type="dxa"/>
              <w:right w:w="45" w:type="dxa"/>
            </w:tcMar>
            <w:vAlign w:val="center"/>
          </w:tcPr>
          <w:p w14:paraId="51FC90C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（207）学校与有资质的单位签约处置感染性废物，有交接记录，形成电子或者纸质台账。</w:t>
            </w:r>
          </w:p>
          <w:p w14:paraId="17ED5E25">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（208）学校有生物废弃物中转站或收集点，生物废物及时收集转运</w:t>
            </w:r>
          </w:p>
        </w:tc>
        <w:tc>
          <w:tcPr>
            <w:tcW w:w="2543" w:type="dxa"/>
            <w:tcMar>
              <w:left w:w="45" w:type="dxa"/>
              <w:right w:w="45" w:type="dxa"/>
            </w:tcMar>
            <w:vAlign w:val="center"/>
          </w:tcPr>
          <w:p w14:paraId="47A616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6CF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2AC8C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10.7.2</w:t>
            </w:r>
          </w:p>
        </w:tc>
        <w:tc>
          <w:tcPr>
            <w:tcW w:w="3703" w:type="dxa"/>
            <w:tcMar>
              <w:left w:w="45" w:type="dxa"/>
              <w:right w:w="45" w:type="dxa"/>
            </w:tcMar>
            <w:vAlign w:val="center"/>
          </w:tcPr>
          <w:p w14:paraId="5415A8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生物废弃物与其他类别废物分开，并且做好防护和消杀</w:t>
            </w:r>
          </w:p>
        </w:tc>
        <w:tc>
          <w:tcPr>
            <w:tcW w:w="7777" w:type="dxa"/>
            <w:tcMar>
              <w:left w:w="45" w:type="dxa"/>
              <w:right w:w="45" w:type="dxa"/>
            </w:tcMar>
            <w:vAlign w:val="center"/>
          </w:tcPr>
          <w:p w14:paraId="44C6C42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（209）生物废物应与化学废物、生活垃圾等分开贮存。</w:t>
            </w:r>
          </w:p>
          <w:p w14:paraId="3958F0E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（210）实验室内配备生物废物垃圾桶（内置</w:t>
            </w:r>
            <w:r>
              <w:rPr>
                <w:rFonts w:hint="default" w:ascii="Times New Roman" w:hAnsi="Times New Roman" w:eastAsia="仿宋_GB2312" w:cs="Times New Roman"/>
                <w:color w:val="auto"/>
                <w:kern w:val="0"/>
              </w:rPr>
              <w:t>生物废物专用</w:t>
            </w:r>
            <w:r>
              <w:rPr>
                <w:rFonts w:hint="default" w:ascii="Times New Roman" w:hAnsi="Times New Roman" w:eastAsia="仿宋_GB2312" w:cs="Times New Roman"/>
                <w:color w:val="auto"/>
                <w:kern w:val="0"/>
                <w:szCs w:val="21"/>
              </w:rPr>
              <w:t>塑料袋），并粘贴专用标签标识。</w:t>
            </w:r>
          </w:p>
          <w:p w14:paraId="5B5E1DB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（211）刀片、移液枪头等尖锐物应使用利器盒或耐扎纸板箱盛放，送储时再装入生物废物专用塑料袋，贴好标签。</w:t>
            </w:r>
          </w:p>
          <w:p w14:paraId="3C90F94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（212）动物实验结束后，动物尸体及组织应做无害化处理，感染性废物彻底灭菌后方可处置。</w:t>
            </w:r>
          </w:p>
          <w:p w14:paraId="4B93832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（213）涉及病原微生物或其他感染性生物废物必须进行高温高压灭菌或化学浸泡处理，然后由有资质的公司进行最终处置，并保留记录。</w:t>
            </w:r>
          </w:p>
          <w:p w14:paraId="2592F876">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（214）高致病性生物材料废物处置实现溯源追踪</w:t>
            </w:r>
          </w:p>
        </w:tc>
        <w:tc>
          <w:tcPr>
            <w:tcW w:w="2543" w:type="dxa"/>
            <w:tcMar>
              <w:left w:w="45" w:type="dxa"/>
              <w:right w:w="45" w:type="dxa"/>
            </w:tcMar>
            <w:vAlign w:val="center"/>
          </w:tcPr>
          <w:p w14:paraId="608BF1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6669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D4E10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68F3CC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辐射安全与核材料管制</w:t>
            </w:r>
          </w:p>
        </w:tc>
      </w:tr>
      <w:tr w14:paraId="6D88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50E96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11.1</w:t>
            </w:r>
          </w:p>
        </w:tc>
        <w:tc>
          <w:tcPr>
            <w:tcW w:w="14023" w:type="dxa"/>
            <w:gridSpan w:val="3"/>
            <w:tcMar>
              <w:left w:w="45" w:type="dxa"/>
              <w:right w:w="45" w:type="dxa"/>
            </w:tcMar>
            <w:vAlign w:val="center"/>
          </w:tcPr>
          <w:p w14:paraId="091712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资质与人员要求</w:t>
            </w:r>
          </w:p>
        </w:tc>
      </w:tr>
      <w:tr w14:paraId="2867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7870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11.1.1</w:t>
            </w:r>
          </w:p>
        </w:tc>
        <w:tc>
          <w:tcPr>
            <w:tcW w:w="3703" w:type="dxa"/>
            <w:tcMar>
              <w:left w:w="45" w:type="dxa"/>
              <w:right w:w="45" w:type="dxa"/>
            </w:tcMar>
            <w:vAlign w:val="center"/>
          </w:tcPr>
          <w:p w14:paraId="2843D2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bCs/>
                <w:color w:val="auto"/>
                <w:kern w:val="0"/>
                <w:szCs w:val="21"/>
              </w:rPr>
              <w:t>单位须</w:t>
            </w:r>
            <w:r>
              <w:rPr>
                <w:rFonts w:hint="default" w:ascii="Times New Roman" w:hAnsi="Times New Roman" w:eastAsia="仿宋_GB2312" w:cs="Times New Roman"/>
                <w:color w:val="auto"/>
                <w:kern w:val="0"/>
                <w:szCs w:val="21"/>
              </w:rPr>
              <w:t>取得辐射安全许可证</w:t>
            </w:r>
          </w:p>
        </w:tc>
        <w:tc>
          <w:tcPr>
            <w:tcW w:w="7777" w:type="dxa"/>
            <w:tcMar>
              <w:left w:w="45" w:type="dxa"/>
              <w:right w:w="45" w:type="dxa"/>
            </w:tcMar>
            <w:vAlign w:val="center"/>
          </w:tcPr>
          <w:p w14:paraId="56E9AB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（215）按辐射安全许可证规定的活动种类和范围，在许可的辐射活动场所内开展辐射类实验。除已被生态环境部门豁免管理外，射线装置、放射源或者非密封放射性物质应申领辐射安全许可证</w:t>
            </w:r>
          </w:p>
        </w:tc>
        <w:tc>
          <w:tcPr>
            <w:tcW w:w="2543" w:type="dxa"/>
            <w:tcMar>
              <w:left w:w="45" w:type="dxa"/>
              <w:right w:w="45" w:type="dxa"/>
            </w:tcMar>
            <w:vAlign w:val="center"/>
          </w:tcPr>
          <w:p w14:paraId="582C8CB4">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 w:val="24"/>
              </w:rPr>
            </w:pPr>
          </w:p>
        </w:tc>
      </w:tr>
      <w:tr w14:paraId="4F8B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8BE6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11.1.2</w:t>
            </w:r>
          </w:p>
        </w:tc>
        <w:tc>
          <w:tcPr>
            <w:tcW w:w="3703" w:type="dxa"/>
            <w:tcMar>
              <w:left w:w="45" w:type="dxa"/>
              <w:right w:w="45" w:type="dxa"/>
            </w:tcMar>
            <w:vAlign w:val="center"/>
          </w:tcPr>
          <w:p w14:paraId="0DBC46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人员须经过专门培训，定期参加职业体检</w:t>
            </w:r>
          </w:p>
        </w:tc>
        <w:tc>
          <w:tcPr>
            <w:tcW w:w="7777" w:type="dxa"/>
            <w:tcMar>
              <w:left w:w="45" w:type="dxa"/>
              <w:right w:w="45" w:type="dxa"/>
            </w:tcMar>
            <w:vAlign w:val="center"/>
          </w:tcPr>
          <w:p w14:paraId="1A9C3D6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（216）辐射工作人员应具有生态环境部组织考核的《核技术利用辐射安全与防护考核成绩报告单》，仅从事III类射线装置使用活动的人员可由所在单位自行组织考核。</w:t>
            </w:r>
          </w:p>
          <w:p w14:paraId="05576E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（217）</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人员按时参加放射性职业体检（2年1次），有健康档案。</w:t>
            </w:r>
          </w:p>
          <w:p w14:paraId="756AC8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（218）</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人员进入实验场所须佩戴个人剂量计，剂量计委托有资质的单位按时进行剂量监测（3个月1次）</w:t>
            </w:r>
          </w:p>
        </w:tc>
        <w:tc>
          <w:tcPr>
            <w:tcW w:w="2543" w:type="dxa"/>
            <w:tcMar>
              <w:left w:w="45" w:type="dxa"/>
              <w:right w:w="45" w:type="dxa"/>
            </w:tcMar>
            <w:vAlign w:val="center"/>
          </w:tcPr>
          <w:p w14:paraId="0715E8D0">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0B8F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2251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11.1.3</w:t>
            </w:r>
          </w:p>
        </w:tc>
        <w:tc>
          <w:tcPr>
            <w:tcW w:w="3703" w:type="dxa"/>
            <w:tcMar>
              <w:left w:w="45" w:type="dxa"/>
              <w:right w:w="45" w:type="dxa"/>
            </w:tcMar>
            <w:vAlign w:val="center"/>
          </w:tcPr>
          <w:p w14:paraId="0C9788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核材料许可证持有单位须建立专职机构或指定专人负责保管核材料，执行国家法律法规要求。有账目与报告制度，保证账物相符</w:t>
            </w:r>
          </w:p>
        </w:tc>
        <w:tc>
          <w:tcPr>
            <w:tcW w:w="7777" w:type="dxa"/>
            <w:tcMar>
              <w:left w:w="45" w:type="dxa"/>
              <w:right w:w="45" w:type="dxa"/>
            </w:tcMar>
            <w:vAlign w:val="center"/>
          </w:tcPr>
          <w:p w14:paraId="67B076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（219）持有核材料数量达到法定要求的单位须</w:t>
            </w:r>
            <w:r>
              <w:rPr>
                <w:rFonts w:hint="default" w:ascii="Times New Roman" w:hAnsi="Times New Roman" w:eastAsia="仿宋_GB2312" w:cs="Times New Roman"/>
                <w:color w:val="auto"/>
                <w:kern w:val="0"/>
                <w:szCs w:val="21"/>
              </w:rPr>
              <w:t>取得核材料许可证，</w:t>
            </w:r>
            <w:r>
              <w:rPr>
                <w:rFonts w:hint="default" w:ascii="Times New Roman" w:hAnsi="Times New Roman" w:eastAsia="仿宋_GB2312" w:cs="Times New Roman"/>
                <w:color w:val="auto"/>
                <w:szCs w:val="21"/>
              </w:rPr>
              <w:t>有负责机构或指定专人负责核材料管制工作，核材料衡算和核安保工作执行国家法律法规要求</w:t>
            </w:r>
          </w:p>
        </w:tc>
        <w:tc>
          <w:tcPr>
            <w:tcW w:w="2543" w:type="dxa"/>
            <w:tcMar>
              <w:left w:w="45" w:type="dxa"/>
              <w:right w:w="45" w:type="dxa"/>
            </w:tcMar>
            <w:vAlign w:val="center"/>
          </w:tcPr>
          <w:p w14:paraId="6622E92E">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2B65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687E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11.2</w:t>
            </w:r>
          </w:p>
        </w:tc>
        <w:tc>
          <w:tcPr>
            <w:tcW w:w="14023" w:type="dxa"/>
            <w:gridSpan w:val="3"/>
            <w:tcMar>
              <w:left w:w="45" w:type="dxa"/>
              <w:right w:w="45" w:type="dxa"/>
            </w:tcMar>
            <w:vAlign w:val="center"/>
          </w:tcPr>
          <w:p w14:paraId="23ED1F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场所设施与采购运输</w:t>
            </w:r>
          </w:p>
        </w:tc>
      </w:tr>
      <w:tr w14:paraId="0263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C546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11.2.1</w:t>
            </w:r>
          </w:p>
        </w:tc>
        <w:tc>
          <w:tcPr>
            <w:tcW w:w="3703" w:type="dxa"/>
            <w:tcMar>
              <w:left w:w="45" w:type="dxa"/>
              <w:right w:w="45" w:type="dxa"/>
            </w:tcMar>
            <w:vAlign w:val="center"/>
          </w:tcPr>
          <w:p w14:paraId="705183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辐射设施和场所应设有警示、联锁和报警装置</w:t>
            </w:r>
          </w:p>
        </w:tc>
        <w:tc>
          <w:tcPr>
            <w:tcW w:w="7777" w:type="dxa"/>
            <w:tcMar>
              <w:left w:w="45" w:type="dxa"/>
              <w:right w:w="45" w:type="dxa"/>
            </w:tcMar>
            <w:vAlign w:val="center"/>
          </w:tcPr>
          <w:p w14:paraId="10F3EC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（220）放射源储存库应设双人双锁，并有安全报警系统和视频监控系统。</w:t>
            </w:r>
          </w:p>
          <w:p w14:paraId="026A2A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（221）</w:t>
            </w:r>
            <w:r>
              <w:rPr>
                <w:rFonts w:hint="default" w:ascii="Times New Roman" w:hAnsi="Times New Roman" w:eastAsia="仿宋_GB2312" w:cs="Times New Roman"/>
                <w:b/>
                <w:bCs/>
                <w:color w:val="auto"/>
                <w:kern w:val="0"/>
                <w:szCs w:val="21"/>
              </w:rPr>
              <w:t>辐照设施设备和场所应具有能正常工作的安全联锁装置和报警装置，有明显的安全警示标识、警戒线和剂量报警仪</w:t>
            </w:r>
          </w:p>
        </w:tc>
        <w:tc>
          <w:tcPr>
            <w:tcW w:w="2543" w:type="dxa"/>
            <w:tcMar>
              <w:left w:w="45" w:type="dxa"/>
              <w:right w:w="45" w:type="dxa"/>
            </w:tcMar>
            <w:vAlign w:val="center"/>
          </w:tcPr>
          <w:p w14:paraId="6EA6DCF4">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44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F256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11.2.2</w:t>
            </w:r>
          </w:p>
        </w:tc>
        <w:tc>
          <w:tcPr>
            <w:tcW w:w="3703" w:type="dxa"/>
            <w:tcMar>
              <w:left w:w="45" w:type="dxa"/>
              <w:right w:w="45" w:type="dxa"/>
            </w:tcMar>
            <w:vAlign w:val="center"/>
          </w:tcPr>
          <w:p w14:paraId="2B89B1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辐射实验场所每年有合格的实验场所检测报告</w:t>
            </w:r>
          </w:p>
        </w:tc>
        <w:tc>
          <w:tcPr>
            <w:tcW w:w="7777" w:type="dxa"/>
            <w:tcMar>
              <w:left w:w="45" w:type="dxa"/>
              <w:right w:w="45" w:type="dxa"/>
            </w:tcMar>
            <w:vAlign w:val="center"/>
          </w:tcPr>
          <w:p w14:paraId="56646E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（222）查</w:t>
            </w:r>
            <w:r>
              <w:rPr>
                <w:rFonts w:hint="default" w:ascii="Times New Roman" w:hAnsi="Times New Roman" w:eastAsia="仿宋_GB2312" w:cs="Times New Roman"/>
                <w:color w:val="auto"/>
                <w:kern w:val="0"/>
                <w:szCs w:val="21"/>
              </w:rPr>
              <w:t>看场所辐射环境监测报告</w:t>
            </w:r>
          </w:p>
        </w:tc>
        <w:tc>
          <w:tcPr>
            <w:tcW w:w="2543" w:type="dxa"/>
            <w:tcMar>
              <w:left w:w="45" w:type="dxa"/>
              <w:right w:w="45" w:type="dxa"/>
            </w:tcMar>
            <w:vAlign w:val="center"/>
          </w:tcPr>
          <w:p w14:paraId="6E273FD5">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79A1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E0D2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11.2.3</w:t>
            </w:r>
          </w:p>
        </w:tc>
        <w:tc>
          <w:tcPr>
            <w:tcW w:w="3703" w:type="dxa"/>
            <w:tcMar>
              <w:left w:w="45" w:type="dxa"/>
              <w:right w:w="45" w:type="dxa"/>
            </w:tcMar>
            <w:vAlign w:val="center"/>
          </w:tcPr>
          <w:p w14:paraId="689C7E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放射性物质的转让、转移和运输应按规定报批</w:t>
            </w:r>
          </w:p>
        </w:tc>
        <w:tc>
          <w:tcPr>
            <w:tcW w:w="7777" w:type="dxa"/>
            <w:tcMar>
              <w:left w:w="45" w:type="dxa"/>
              <w:right w:w="45" w:type="dxa"/>
            </w:tcMar>
            <w:vAlign w:val="center"/>
          </w:tcPr>
          <w:p w14:paraId="192AF4F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（223）放射性物质转让、转移有学校及生态环境部门的审批备案材料，在野外使用放射性物质开展实验应事先取得实验所在地省级生态环境主管部门的批准。</w:t>
            </w:r>
          </w:p>
          <w:p w14:paraId="458481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（224）放射性物质的转移和运输有学校及公安部门的审批备案材料。</w:t>
            </w:r>
          </w:p>
          <w:p w14:paraId="58A29C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（225）放射性物质及射线装置储存和使用场所变更应重新开展环境影响评价</w:t>
            </w:r>
          </w:p>
        </w:tc>
        <w:tc>
          <w:tcPr>
            <w:tcW w:w="2543" w:type="dxa"/>
            <w:tcMar>
              <w:left w:w="45" w:type="dxa"/>
              <w:right w:w="45" w:type="dxa"/>
            </w:tcMar>
            <w:vAlign w:val="center"/>
          </w:tcPr>
          <w:p w14:paraId="514B85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0DD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8B18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11.3</w:t>
            </w:r>
          </w:p>
        </w:tc>
        <w:tc>
          <w:tcPr>
            <w:tcW w:w="14023" w:type="dxa"/>
            <w:gridSpan w:val="3"/>
            <w:tcMar>
              <w:left w:w="45" w:type="dxa"/>
              <w:right w:w="45" w:type="dxa"/>
            </w:tcMar>
            <w:vAlign w:val="center"/>
          </w:tcPr>
          <w:p w14:paraId="5FDFFD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放射性实验安全及废物处置</w:t>
            </w:r>
          </w:p>
        </w:tc>
      </w:tr>
      <w:tr w14:paraId="1D72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42A95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11.3.1</w:t>
            </w:r>
          </w:p>
        </w:tc>
        <w:tc>
          <w:tcPr>
            <w:tcW w:w="3703" w:type="dxa"/>
            <w:tcMar>
              <w:left w:w="45" w:type="dxa"/>
              <w:right w:w="45" w:type="dxa"/>
            </w:tcMar>
            <w:vAlign w:val="center"/>
          </w:tcPr>
          <w:p w14:paraId="35CCF0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各类放射性装置有符合国家相关规定的操作规程、安保方案及应急预案，并遵照执行</w:t>
            </w:r>
          </w:p>
        </w:tc>
        <w:tc>
          <w:tcPr>
            <w:tcW w:w="7777" w:type="dxa"/>
            <w:tcMar>
              <w:left w:w="45" w:type="dxa"/>
              <w:right w:w="45" w:type="dxa"/>
            </w:tcMar>
            <w:vAlign w:val="center"/>
          </w:tcPr>
          <w:p w14:paraId="344E99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（226）</w:t>
            </w:r>
            <w:bookmarkStart w:id="1" w:name="_Hlk67119357"/>
            <w:r>
              <w:rPr>
                <w:rFonts w:hint="default" w:ascii="Times New Roman" w:hAnsi="Times New Roman" w:eastAsia="仿宋_GB2312" w:cs="Times New Roman"/>
                <w:color w:val="auto"/>
                <w:kern w:val="0"/>
                <w:szCs w:val="21"/>
              </w:rPr>
              <w:t>重点关注γ辐照、电子加速器、射线探伤仪、非密封放射性实验操作、V类以上的放射源实验操作。</w:t>
            </w:r>
          </w:p>
          <w:p w14:paraId="1EF01B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（227）查看辐射事故应急预案</w:t>
            </w:r>
            <w:bookmarkEnd w:id="1"/>
            <w:r>
              <w:rPr>
                <w:rFonts w:hint="default" w:ascii="Times New Roman" w:hAnsi="Times New Roman" w:eastAsia="仿宋_GB2312" w:cs="Times New Roman"/>
                <w:color w:val="auto"/>
                <w:kern w:val="0"/>
                <w:szCs w:val="21"/>
              </w:rPr>
              <w:t>及应急演练记录（每年不少于1次演练）</w:t>
            </w:r>
          </w:p>
        </w:tc>
        <w:tc>
          <w:tcPr>
            <w:tcW w:w="2543" w:type="dxa"/>
            <w:tcMar>
              <w:left w:w="45" w:type="dxa"/>
              <w:right w:w="45" w:type="dxa"/>
            </w:tcMar>
            <w:vAlign w:val="center"/>
          </w:tcPr>
          <w:p w14:paraId="066722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606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1538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11.3.2</w:t>
            </w:r>
          </w:p>
        </w:tc>
        <w:tc>
          <w:tcPr>
            <w:tcW w:w="3703" w:type="dxa"/>
            <w:tcMar>
              <w:left w:w="45" w:type="dxa"/>
              <w:right w:w="45" w:type="dxa"/>
            </w:tcMar>
            <w:vAlign w:val="center"/>
          </w:tcPr>
          <w:p w14:paraId="688D40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放射源及设备报废时有符合国家相关规定的处置方案或回收协议</w:t>
            </w:r>
          </w:p>
        </w:tc>
        <w:tc>
          <w:tcPr>
            <w:tcW w:w="7777" w:type="dxa"/>
            <w:tcMar>
              <w:left w:w="45" w:type="dxa"/>
              <w:right w:w="45" w:type="dxa"/>
            </w:tcMar>
            <w:vAlign w:val="center"/>
          </w:tcPr>
          <w:p w14:paraId="50A39A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（228）中、长半衰期核素固液废物有符合国家相关规定的处置方案或回收协议，短半衰期核素固液废弃物放置10个半衰期经检测达标并经审管部门的批准可以作为普通废物处理，并有处置记录。</w:t>
            </w:r>
          </w:p>
          <w:p w14:paraId="5FD64C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（229）报废含有放射源或可产生放射性的设备，须报学校管理部门同意，并按国家规定进行退役处置。</w:t>
            </w:r>
            <w:r>
              <w:rPr>
                <w:rFonts w:hint="default" w:ascii="Times New Roman" w:hAnsi="Times New Roman" w:eastAsia="仿宋_GB2312" w:cs="Times New Roman"/>
                <w:bCs/>
                <w:color w:val="auto"/>
                <w:kern w:val="0"/>
                <w:szCs w:val="21"/>
              </w:rPr>
              <w:t>X光管报废时应破坏高压设备，拍照留存。</w:t>
            </w:r>
          </w:p>
          <w:p w14:paraId="7CE156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（230）</w:t>
            </w:r>
            <w:r>
              <w:rPr>
                <w:rFonts w:hint="default" w:ascii="Times New Roman" w:hAnsi="Times New Roman" w:eastAsia="仿宋_GB2312" w:cs="Times New Roman"/>
                <w:color w:val="auto"/>
                <w:kern w:val="0"/>
                <w:szCs w:val="21"/>
              </w:rPr>
              <w:t>涉源实验场所退役，须按国家相关规定执行</w:t>
            </w:r>
          </w:p>
        </w:tc>
        <w:tc>
          <w:tcPr>
            <w:tcW w:w="2543" w:type="dxa"/>
            <w:tcMar>
              <w:left w:w="45" w:type="dxa"/>
              <w:right w:w="45" w:type="dxa"/>
            </w:tcMar>
            <w:vAlign w:val="center"/>
          </w:tcPr>
          <w:p w14:paraId="2E0FAA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B08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4C8C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11.3.3</w:t>
            </w:r>
          </w:p>
        </w:tc>
        <w:tc>
          <w:tcPr>
            <w:tcW w:w="3703" w:type="dxa"/>
            <w:tcMar>
              <w:left w:w="45" w:type="dxa"/>
              <w:right w:w="45" w:type="dxa"/>
            </w:tcMar>
            <w:vAlign w:val="center"/>
          </w:tcPr>
          <w:p w14:paraId="60BC95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放射性废物（源）应严加管理，不得作为普通废物处理，不得擅自处置</w:t>
            </w:r>
          </w:p>
        </w:tc>
        <w:tc>
          <w:tcPr>
            <w:tcW w:w="7777" w:type="dxa"/>
            <w:tcMar>
              <w:left w:w="45" w:type="dxa"/>
              <w:right w:w="45" w:type="dxa"/>
            </w:tcMar>
            <w:vAlign w:val="center"/>
          </w:tcPr>
          <w:p w14:paraId="7F8C0F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bookmarkStart w:id="2" w:name="_Hlk67118907"/>
            <w:r>
              <w:rPr>
                <w:rFonts w:hint="default" w:ascii="Times New Roman" w:hAnsi="Times New Roman" w:eastAsia="仿宋_GB2312" w:cs="Times New Roman"/>
                <w:color w:val="auto"/>
                <w:kern w:val="0"/>
                <w:szCs w:val="21"/>
              </w:rPr>
              <w:t>（231）相关实验室应当配置专门的放射性废物收集桶，放射性废液送贮前应进行固化整备。</w:t>
            </w:r>
          </w:p>
          <w:p w14:paraId="32F8D5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（232）放射性废物应及时送交</w:t>
            </w:r>
            <w:bookmarkEnd w:id="2"/>
            <w:r>
              <w:rPr>
                <w:rFonts w:hint="default" w:ascii="Times New Roman" w:hAnsi="Times New Roman" w:eastAsia="仿宋_GB2312" w:cs="Times New Roman"/>
                <w:color w:val="auto"/>
                <w:kern w:val="0"/>
                <w:szCs w:val="21"/>
              </w:rPr>
              <w:t>有资质的放射性废物集中贮存单位贮存。</w:t>
            </w:r>
          </w:p>
          <w:p w14:paraId="68050A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（233）排放气态或液态放射性流出物应严格按照环评和地方生态环境部门批准的排放量和排放方式执行</w:t>
            </w:r>
          </w:p>
        </w:tc>
        <w:tc>
          <w:tcPr>
            <w:tcW w:w="2543" w:type="dxa"/>
            <w:tcMar>
              <w:left w:w="45" w:type="dxa"/>
              <w:right w:w="45" w:type="dxa"/>
            </w:tcMar>
            <w:vAlign w:val="center"/>
          </w:tcPr>
          <w:p w14:paraId="38C8D7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756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DC186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5F035D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机电等安全</w:t>
            </w:r>
          </w:p>
        </w:tc>
      </w:tr>
      <w:tr w14:paraId="29191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6544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12.1</w:t>
            </w:r>
          </w:p>
        </w:tc>
        <w:tc>
          <w:tcPr>
            <w:tcW w:w="14023" w:type="dxa"/>
            <w:gridSpan w:val="3"/>
            <w:tcMar>
              <w:left w:w="45" w:type="dxa"/>
              <w:right w:w="45" w:type="dxa"/>
            </w:tcMar>
            <w:vAlign w:val="center"/>
          </w:tcPr>
          <w:p w14:paraId="6AD9A6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仪器设备常规管理</w:t>
            </w:r>
          </w:p>
        </w:tc>
      </w:tr>
      <w:tr w14:paraId="7CD3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CF56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12.1.1</w:t>
            </w:r>
          </w:p>
        </w:tc>
        <w:tc>
          <w:tcPr>
            <w:tcW w:w="3703" w:type="dxa"/>
            <w:tcMar>
              <w:left w:w="45" w:type="dxa"/>
              <w:right w:w="45" w:type="dxa"/>
            </w:tcMar>
            <w:vAlign w:val="center"/>
          </w:tcPr>
          <w:p w14:paraId="478FB5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建立设备台账，设备上有资产标签，有明确的管理人员</w:t>
            </w:r>
          </w:p>
        </w:tc>
        <w:tc>
          <w:tcPr>
            <w:tcW w:w="7777" w:type="dxa"/>
            <w:tcMar>
              <w:left w:w="45" w:type="dxa"/>
              <w:right w:w="45" w:type="dxa"/>
            </w:tcMar>
            <w:vAlign w:val="center"/>
          </w:tcPr>
          <w:p w14:paraId="7C3E89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（234）查看资产标签、电子或纸质台账</w:t>
            </w:r>
          </w:p>
        </w:tc>
        <w:tc>
          <w:tcPr>
            <w:tcW w:w="2543" w:type="dxa"/>
            <w:tcMar>
              <w:left w:w="45" w:type="dxa"/>
              <w:right w:w="45" w:type="dxa"/>
            </w:tcMar>
            <w:vAlign w:val="center"/>
          </w:tcPr>
          <w:p w14:paraId="40926D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513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CD5E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12.1.2</w:t>
            </w:r>
          </w:p>
        </w:tc>
        <w:tc>
          <w:tcPr>
            <w:tcW w:w="3703" w:type="dxa"/>
            <w:tcMar>
              <w:left w:w="45" w:type="dxa"/>
              <w:right w:w="45" w:type="dxa"/>
            </w:tcMar>
            <w:vAlign w:val="center"/>
          </w:tcPr>
          <w:p w14:paraId="1048F2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大型、特种设备的使用须符合相关规定</w:t>
            </w:r>
          </w:p>
        </w:tc>
        <w:tc>
          <w:tcPr>
            <w:tcW w:w="7777" w:type="dxa"/>
            <w:tcMar>
              <w:left w:w="45" w:type="dxa"/>
              <w:right w:w="45" w:type="dxa"/>
            </w:tcMar>
            <w:vAlign w:val="center"/>
          </w:tcPr>
          <w:p w14:paraId="5C1A45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（235）大型仪器设备、高功率的设备与电路容量相匹配，有设备运行维护记录，有安全操作规程或注意事项</w:t>
            </w:r>
          </w:p>
        </w:tc>
        <w:tc>
          <w:tcPr>
            <w:tcW w:w="2543" w:type="dxa"/>
            <w:tcMar>
              <w:left w:w="45" w:type="dxa"/>
              <w:right w:w="45" w:type="dxa"/>
            </w:tcMar>
            <w:vAlign w:val="center"/>
          </w:tcPr>
          <w:p w14:paraId="0EBF3A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907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6F37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12.1.3</w:t>
            </w:r>
          </w:p>
        </w:tc>
        <w:tc>
          <w:tcPr>
            <w:tcW w:w="3703" w:type="dxa"/>
            <w:tcMar>
              <w:left w:w="45" w:type="dxa"/>
              <w:right w:w="45" w:type="dxa"/>
            </w:tcMar>
            <w:vAlign w:val="center"/>
          </w:tcPr>
          <w:p w14:paraId="1E04BB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仪器设备的接地和用电符合相关要求</w:t>
            </w:r>
          </w:p>
        </w:tc>
        <w:tc>
          <w:tcPr>
            <w:tcW w:w="7777" w:type="dxa"/>
            <w:tcMar>
              <w:left w:w="45" w:type="dxa"/>
              <w:right w:w="45" w:type="dxa"/>
            </w:tcMar>
            <w:vAlign w:val="center"/>
          </w:tcPr>
          <w:p w14:paraId="401D70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（236）仪器设备接地系统应按规范要求，采用铜质材料，接地电阻一般不高于4Ω。</w:t>
            </w:r>
          </w:p>
          <w:p w14:paraId="28600C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（237）电脑、空调、电加热器等不随意开机过夜。</w:t>
            </w:r>
            <w:r>
              <w:rPr>
                <w:rFonts w:hint="default" w:ascii="Times New Roman" w:hAnsi="Times New Roman" w:eastAsia="仿宋_GB2312" w:cs="Times New Roman"/>
                <w:color w:val="auto"/>
                <w:kern w:val="0"/>
                <w:szCs w:val="21"/>
              </w:rPr>
              <w:t>对于不能断电的特殊仪器设备，采取必要的防护措施（如双路供电、不间断电源、监控报警等）</w:t>
            </w:r>
          </w:p>
        </w:tc>
        <w:tc>
          <w:tcPr>
            <w:tcW w:w="2543" w:type="dxa"/>
            <w:tcMar>
              <w:left w:w="45" w:type="dxa"/>
              <w:right w:w="45" w:type="dxa"/>
            </w:tcMar>
            <w:vAlign w:val="center"/>
          </w:tcPr>
          <w:p w14:paraId="1B482C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569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C212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12.1.4</w:t>
            </w:r>
          </w:p>
        </w:tc>
        <w:tc>
          <w:tcPr>
            <w:tcW w:w="3703" w:type="dxa"/>
            <w:tcMar>
              <w:left w:w="45" w:type="dxa"/>
              <w:right w:w="45" w:type="dxa"/>
            </w:tcMar>
            <w:vAlign w:val="center"/>
          </w:tcPr>
          <w:p w14:paraId="54DA1AB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特殊设备应配备相应的安全防护措施</w:t>
            </w:r>
          </w:p>
        </w:tc>
        <w:tc>
          <w:tcPr>
            <w:tcW w:w="7777" w:type="dxa"/>
            <w:tcMar>
              <w:left w:w="45" w:type="dxa"/>
              <w:right w:w="45" w:type="dxa"/>
            </w:tcMar>
            <w:vAlign w:val="center"/>
          </w:tcPr>
          <w:p w14:paraId="5EE93C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（238）关注高温、高压、高速运动、电磁辐射等特殊设备，对使用者有培训要求，有安全警示标识和</w:t>
            </w:r>
            <w:r>
              <w:rPr>
                <w:rFonts w:hint="default" w:ascii="Times New Roman" w:hAnsi="Times New Roman" w:eastAsia="仿宋_GB2312" w:cs="Times New Roman"/>
                <w:color w:val="auto"/>
                <w:szCs w:val="21"/>
              </w:rPr>
              <w:t>安全警示线（黄色），设备安全防护措施完好。</w:t>
            </w:r>
          </w:p>
          <w:p w14:paraId="55DC4D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（239）</w:t>
            </w:r>
            <w:r>
              <w:rPr>
                <w:rFonts w:hint="default" w:ascii="Times New Roman" w:hAnsi="Times New Roman" w:eastAsia="仿宋_GB2312" w:cs="Times New Roman"/>
                <w:b/>
                <w:bCs/>
                <w:color w:val="auto"/>
                <w:kern w:val="0"/>
                <w:szCs w:val="21"/>
              </w:rPr>
              <w:t>非标准设备、自制设备应经安全论证合格后方可使用，须充分考虑安全系数，并有安全防护措施</w:t>
            </w:r>
          </w:p>
        </w:tc>
        <w:tc>
          <w:tcPr>
            <w:tcW w:w="2543" w:type="dxa"/>
            <w:tcMar>
              <w:left w:w="45" w:type="dxa"/>
              <w:right w:w="45" w:type="dxa"/>
            </w:tcMar>
            <w:vAlign w:val="center"/>
          </w:tcPr>
          <w:p w14:paraId="552BCE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193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51FE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12.2</w:t>
            </w:r>
          </w:p>
        </w:tc>
        <w:tc>
          <w:tcPr>
            <w:tcW w:w="14023" w:type="dxa"/>
            <w:gridSpan w:val="3"/>
            <w:tcMar>
              <w:left w:w="45" w:type="dxa"/>
              <w:right w:w="45" w:type="dxa"/>
            </w:tcMar>
            <w:vAlign w:val="center"/>
          </w:tcPr>
          <w:p w14:paraId="4CE0FF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机械安全</w:t>
            </w:r>
          </w:p>
        </w:tc>
      </w:tr>
      <w:tr w14:paraId="05D9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B28F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12.2.1</w:t>
            </w:r>
          </w:p>
        </w:tc>
        <w:tc>
          <w:tcPr>
            <w:tcW w:w="3703" w:type="dxa"/>
            <w:tcMar>
              <w:left w:w="45" w:type="dxa"/>
              <w:right w:w="45" w:type="dxa"/>
            </w:tcMar>
            <w:vAlign w:val="center"/>
          </w:tcPr>
          <w:p w14:paraId="49355C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机械设备应保持清洁整齐，可靠接地</w:t>
            </w:r>
          </w:p>
        </w:tc>
        <w:tc>
          <w:tcPr>
            <w:tcW w:w="7777" w:type="dxa"/>
            <w:tcMar>
              <w:left w:w="45" w:type="dxa"/>
              <w:right w:w="45" w:type="dxa"/>
            </w:tcMar>
            <w:vAlign w:val="center"/>
          </w:tcPr>
          <w:p w14:paraId="47F328F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（240）机床应保持清洁整齐，严禁在床头、床面、刀架上放置物品。</w:t>
            </w:r>
          </w:p>
          <w:p w14:paraId="17E6EC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（241）机械设备可靠接地，实验结束后，应切断电源，整理好场地并将实验用具等摆放整齐，及时清理机械设备产生的废渣、废屑</w:t>
            </w:r>
          </w:p>
        </w:tc>
        <w:tc>
          <w:tcPr>
            <w:tcW w:w="2543" w:type="dxa"/>
            <w:tcMar>
              <w:left w:w="45" w:type="dxa"/>
              <w:right w:w="45" w:type="dxa"/>
            </w:tcMar>
            <w:vAlign w:val="center"/>
          </w:tcPr>
          <w:p w14:paraId="61E4C8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9BC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56E1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12.2.2</w:t>
            </w:r>
          </w:p>
        </w:tc>
        <w:tc>
          <w:tcPr>
            <w:tcW w:w="3703" w:type="dxa"/>
            <w:tcMar>
              <w:left w:w="45" w:type="dxa"/>
              <w:right w:w="45" w:type="dxa"/>
            </w:tcMar>
            <w:vAlign w:val="center"/>
          </w:tcPr>
          <w:p w14:paraId="19FE6D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操作机械设备时实验人员应做好个体防护</w:t>
            </w:r>
          </w:p>
        </w:tc>
        <w:tc>
          <w:tcPr>
            <w:tcW w:w="7777" w:type="dxa"/>
            <w:tcMar>
              <w:left w:w="45" w:type="dxa"/>
              <w:right w:w="45" w:type="dxa"/>
            </w:tcMar>
            <w:vAlign w:val="center"/>
          </w:tcPr>
          <w:p w14:paraId="68E3A5E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（242）个体防护用品要穿戴齐全，如工作服、工作帽、工作鞋、防护眼镜等。操作冷加工设备时必须穿“三紧式”工作服，不能留长发（长发要盘在工作帽内），禁止戴手套。</w:t>
            </w:r>
          </w:p>
          <w:p w14:paraId="235287B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（243）</w:t>
            </w:r>
            <w:r>
              <w:rPr>
                <w:rFonts w:hint="default" w:ascii="Times New Roman" w:hAnsi="Times New Roman" w:eastAsia="仿宋_GB2312" w:cs="Times New Roman"/>
                <w:color w:val="auto"/>
                <w:kern w:val="0"/>
                <w:szCs w:val="21"/>
              </w:rPr>
              <w:t>进入高速切削机械操作工作场所，应穿好工作服、工作鞋，戴好防护眼镜，扣紧衣袖口，戴好工作帽（长发学生</w:t>
            </w:r>
            <w:r>
              <w:rPr>
                <w:rFonts w:hint="default" w:ascii="Times New Roman" w:hAnsi="Times New Roman" w:eastAsia="仿宋_GB2312" w:cs="Times New Roman"/>
                <w:color w:val="auto"/>
                <w:kern w:val="0"/>
              </w:rPr>
              <w:t>必须将长发盘在工作帽内</w:t>
            </w:r>
            <w:r>
              <w:rPr>
                <w:rFonts w:hint="default" w:ascii="Times New Roman" w:hAnsi="Times New Roman" w:eastAsia="仿宋_GB2312" w:cs="Times New Roman"/>
                <w:color w:val="auto"/>
                <w:kern w:val="0"/>
                <w:szCs w:val="21"/>
              </w:rPr>
              <w:t>），禁止戴手套、长围巾、领带、手镯等配饰物，禁止穿拖鞋、高跟鞋等。设备运转时严禁用手调整工件</w:t>
            </w:r>
          </w:p>
        </w:tc>
        <w:tc>
          <w:tcPr>
            <w:tcW w:w="2543" w:type="dxa"/>
            <w:tcMar>
              <w:left w:w="45" w:type="dxa"/>
              <w:right w:w="45" w:type="dxa"/>
            </w:tcMar>
            <w:vAlign w:val="center"/>
          </w:tcPr>
          <w:p w14:paraId="1EA595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E46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D522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12.2.3</w:t>
            </w:r>
          </w:p>
        </w:tc>
        <w:tc>
          <w:tcPr>
            <w:tcW w:w="3703" w:type="dxa"/>
            <w:tcMar>
              <w:left w:w="45" w:type="dxa"/>
              <w:right w:w="45" w:type="dxa"/>
            </w:tcMar>
            <w:vAlign w:val="center"/>
          </w:tcPr>
          <w:p w14:paraId="7ED48E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铸锻及热处理实验应满足场地和防护要求</w:t>
            </w:r>
          </w:p>
        </w:tc>
        <w:tc>
          <w:tcPr>
            <w:tcW w:w="7777" w:type="dxa"/>
            <w:tcMar>
              <w:left w:w="45" w:type="dxa"/>
              <w:right w:w="45" w:type="dxa"/>
            </w:tcMar>
            <w:vAlign w:val="center"/>
          </w:tcPr>
          <w:p w14:paraId="391F85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（244）铸造实验场地宽敞、通道畅通，使用设备前，操作者要按要求穿戴好防护用品。</w:t>
            </w:r>
          </w:p>
          <w:p w14:paraId="5FE9E6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（245）盐浴炉加热零件必须预先烘干，并用铁丝绑牢，缓慢放入炉中，以防盐液炸崩烫伤。</w:t>
            </w:r>
          </w:p>
          <w:p w14:paraId="0D2820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（246）淬火油槽不得有水，油量不能过少，以免发生火灾。</w:t>
            </w:r>
          </w:p>
          <w:p w14:paraId="0B7A47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（247）与铁水接触的一切工具，使用前必须加热，严禁将冷的工具伸入铁水内，以免引起爆炸。</w:t>
            </w:r>
          </w:p>
          <w:p w14:paraId="51B51B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（248）锻压设备不得空打或大力敲打过薄锻件，锻造时锻件应达到850 ℃以上，锻锤空置时应垫有木块</w:t>
            </w:r>
          </w:p>
        </w:tc>
        <w:tc>
          <w:tcPr>
            <w:tcW w:w="2543" w:type="dxa"/>
            <w:tcMar>
              <w:left w:w="45" w:type="dxa"/>
              <w:right w:w="45" w:type="dxa"/>
            </w:tcMar>
            <w:vAlign w:val="center"/>
          </w:tcPr>
          <w:p w14:paraId="64DD9F5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391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B7C1E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12.2.4</w:t>
            </w:r>
          </w:p>
        </w:tc>
        <w:tc>
          <w:tcPr>
            <w:tcW w:w="3703" w:type="dxa"/>
            <w:tcMar>
              <w:left w:w="45" w:type="dxa"/>
              <w:right w:w="45" w:type="dxa"/>
            </w:tcMar>
            <w:vAlign w:val="center"/>
          </w:tcPr>
          <w:p w14:paraId="797901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高处作业应符合相关操作规程</w:t>
            </w:r>
          </w:p>
        </w:tc>
        <w:tc>
          <w:tcPr>
            <w:tcW w:w="7777" w:type="dxa"/>
            <w:tcMar>
              <w:left w:w="45" w:type="dxa"/>
              <w:right w:w="45" w:type="dxa"/>
            </w:tcMar>
            <w:vAlign w:val="center"/>
          </w:tcPr>
          <w:p w14:paraId="027A54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（249）在坠落高度基准面2m及以上有可能坠落的高处进行作业，须穿防滑鞋、佩戴安全帽、使用安全带。</w:t>
            </w:r>
          </w:p>
          <w:p w14:paraId="27A09A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（250）临边作业须在临空一侧设置防护栏杆，有相关安全操作规程</w:t>
            </w:r>
          </w:p>
        </w:tc>
        <w:tc>
          <w:tcPr>
            <w:tcW w:w="2543" w:type="dxa"/>
            <w:tcMar>
              <w:left w:w="45" w:type="dxa"/>
              <w:right w:w="45" w:type="dxa"/>
            </w:tcMar>
            <w:vAlign w:val="center"/>
          </w:tcPr>
          <w:p w14:paraId="636E4A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86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556F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12.3</w:t>
            </w:r>
          </w:p>
        </w:tc>
        <w:tc>
          <w:tcPr>
            <w:tcW w:w="14023" w:type="dxa"/>
            <w:gridSpan w:val="3"/>
            <w:tcMar>
              <w:left w:w="45" w:type="dxa"/>
              <w:right w:w="45" w:type="dxa"/>
            </w:tcMar>
            <w:vAlign w:val="center"/>
          </w:tcPr>
          <w:p w14:paraId="4DF16B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电气安全</w:t>
            </w:r>
          </w:p>
        </w:tc>
      </w:tr>
      <w:tr w14:paraId="2980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6465D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12.3.1</w:t>
            </w:r>
          </w:p>
        </w:tc>
        <w:tc>
          <w:tcPr>
            <w:tcW w:w="3703" w:type="dxa"/>
            <w:tcMar>
              <w:left w:w="45" w:type="dxa"/>
              <w:right w:w="45" w:type="dxa"/>
            </w:tcMar>
            <w:vAlign w:val="center"/>
          </w:tcPr>
          <w:p w14:paraId="7675CC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电气设备的使用应符合用电安全规范</w:t>
            </w:r>
          </w:p>
        </w:tc>
        <w:tc>
          <w:tcPr>
            <w:tcW w:w="7777" w:type="dxa"/>
            <w:tcMar>
              <w:left w:w="45" w:type="dxa"/>
              <w:right w:w="45" w:type="dxa"/>
            </w:tcMar>
            <w:vAlign w:val="center"/>
          </w:tcPr>
          <w:p w14:paraId="2FACE319">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（251）各种电气设备及电线应始终保持干燥，防止浸湿，以防短路引起火灾或烧坏电气设备。</w:t>
            </w:r>
          </w:p>
          <w:p w14:paraId="785ED3D9">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（252）</w:t>
            </w:r>
            <w:r>
              <w:rPr>
                <w:rFonts w:hint="default" w:ascii="Times New Roman" w:hAnsi="Times New Roman" w:eastAsia="仿宋_GB2312" w:cs="Times New Roman"/>
                <w:color w:val="auto"/>
                <w:szCs w:val="21"/>
              </w:rPr>
              <w:t>实验室内的功能间墙面都应设有专用接地母排，并设有多点接地引出端。</w:t>
            </w:r>
          </w:p>
          <w:p w14:paraId="7459BD3D">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（253）高压、大电流等强电实验室</w:t>
            </w:r>
            <w:r>
              <w:rPr>
                <w:rFonts w:hint="default" w:ascii="Times New Roman" w:hAnsi="Times New Roman" w:eastAsia="仿宋_GB2312" w:cs="Times New Roman"/>
                <w:color w:val="auto"/>
                <w:kern w:val="0"/>
                <w:szCs w:val="21"/>
              </w:rPr>
              <w:t>要设定安全距离，按规定设置安全警示牌，安全信号灯，联动式警铃、门锁，有安全隔离装置或屏蔽遮栏（由金属制成，并可靠接地，</w:t>
            </w:r>
            <w:r>
              <w:rPr>
                <w:rFonts w:hint="default" w:ascii="Times New Roman" w:hAnsi="Times New Roman" w:eastAsia="仿宋_GB2312" w:cs="Times New Roman"/>
                <w:color w:val="auto"/>
                <w:szCs w:val="21"/>
              </w:rPr>
              <w:t>高度不低于2m</w:t>
            </w:r>
            <w:r>
              <w:rPr>
                <w:rFonts w:hint="default" w:ascii="Times New Roman" w:hAnsi="Times New Roman" w:eastAsia="仿宋_GB2312" w:cs="Times New Roman"/>
                <w:color w:val="auto"/>
                <w:kern w:val="0"/>
                <w:szCs w:val="21"/>
              </w:rPr>
              <w:t>）。</w:t>
            </w:r>
          </w:p>
          <w:p w14:paraId="42DE869A">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（254）控制室（控制台）应铺橡胶、绝缘垫等。</w:t>
            </w:r>
          </w:p>
          <w:p w14:paraId="36B99421">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（255）</w:t>
            </w:r>
            <w:r>
              <w:rPr>
                <w:rFonts w:hint="default" w:ascii="Times New Roman" w:hAnsi="Times New Roman" w:eastAsia="仿宋_GB2312" w:cs="Times New Roman"/>
                <w:color w:val="auto"/>
                <w:szCs w:val="21"/>
              </w:rPr>
              <w:t>强电实验室禁止存放易燃、易爆、易腐品，保持通风散热。</w:t>
            </w:r>
          </w:p>
          <w:p w14:paraId="0409B44E">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（256）应为设备配备残余电流泄放专用的接地系统。</w:t>
            </w:r>
          </w:p>
          <w:p w14:paraId="3188538B">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（257）禁止在有可燃气体泄露隐患的环境中使用电动工具；电烙铁有专门的搁架，用毕立即切断电源。</w:t>
            </w:r>
          </w:p>
          <w:p w14:paraId="73574B4C">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（258）强磁设备应配备与大地相连的金属屏蔽网</w:t>
            </w:r>
          </w:p>
        </w:tc>
        <w:tc>
          <w:tcPr>
            <w:tcW w:w="2543" w:type="dxa"/>
            <w:tcMar>
              <w:left w:w="45" w:type="dxa"/>
              <w:right w:w="45" w:type="dxa"/>
            </w:tcMar>
            <w:vAlign w:val="center"/>
          </w:tcPr>
          <w:p w14:paraId="7E409C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AA8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D572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12.3.2</w:t>
            </w:r>
          </w:p>
        </w:tc>
        <w:tc>
          <w:tcPr>
            <w:tcW w:w="3703" w:type="dxa"/>
            <w:tcMar>
              <w:left w:w="45" w:type="dxa"/>
              <w:right w:w="45" w:type="dxa"/>
            </w:tcMar>
            <w:vAlign w:val="center"/>
          </w:tcPr>
          <w:p w14:paraId="2AC7DB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操作电气设备应配备合适的防护器具</w:t>
            </w:r>
          </w:p>
        </w:tc>
        <w:tc>
          <w:tcPr>
            <w:tcW w:w="7777" w:type="dxa"/>
            <w:tcMar>
              <w:left w:w="45" w:type="dxa"/>
              <w:right w:w="45" w:type="dxa"/>
            </w:tcMar>
            <w:vAlign w:val="center"/>
          </w:tcPr>
          <w:p w14:paraId="5A3DA5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（259）强电类高电压实验必须两人（含）以上，操作时应戴绝缘手套；防护器具按规定进行周期试验或定期更换；</w:t>
            </w:r>
            <w:r>
              <w:rPr>
                <w:rFonts w:hint="default" w:ascii="Times New Roman" w:hAnsi="Times New Roman" w:eastAsia="仿宋_GB2312" w:cs="Times New Roman"/>
                <w:color w:val="auto"/>
                <w:szCs w:val="21"/>
              </w:rPr>
              <w:t>静电场所要保持空气湿润，工作人员要穿戴防静电服、手套和鞋靴</w:t>
            </w:r>
          </w:p>
        </w:tc>
        <w:tc>
          <w:tcPr>
            <w:tcW w:w="2543" w:type="dxa"/>
            <w:tcMar>
              <w:left w:w="45" w:type="dxa"/>
              <w:right w:w="45" w:type="dxa"/>
            </w:tcMar>
            <w:vAlign w:val="center"/>
          </w:tcPr>
          <w:p w14:paraId="0953ED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F29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CE6B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12.4</w:t>
            </w:r>
          </w:p>
        </w:tc>
        <w:tc>
          <w:tcPr>
            <w:tcW w:w="14023" w:type="dxa"/>
            <w:gridSpan w:val="3"/>
            <w:tcMar>
              <w:left w:w="45" w:type="dxa"/>
              <w:right w:w="45" w:type="dxa"/>
            </w:tcMar>
            <w:vAlign w:val="center"/>
          </w:tcPr>
          <w:p w14:paraId="61F3F1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激光安全</w:t>
            </w:r>
          </w:p>
        </w:tc>
      </w:tr>
      <w:tr w14:paraId="79E7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B44E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12.4.1</w:t>
            </w:r>
          </w:p>
        </w:tc>
        <w:tc>
          <w:tcPr>
            <w:tcW w:w="3703" w:type="dxa"/>
            <w:tcMar>
              <w:left w:w="45" w:type="dxa"/>
              <w:right w:w="45" w:type="dxa"/>
            </w:tcMar>
            <w:vAlign w:val="center"/>
          </w:tcPr>
          <w:p w14:paraId="5C6EAC1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激光实验室配有完备的安全屏蔽设施</w:t>
            </w:r>
          </w:p>
        </w:tc>
        <w:tc>
          <w:tcPr>
            <w:tcW w:w="7777" w:type="dxa"/>
            <w:tcMar>
              <w:left w:w="45" w:type="dxa"/>
              <w:right w:w="45" w:type="dxa"/>
            </w:tcMar>
            <w:vAlign w:val="center"/>
          </w:tcPr>
          <w:p w14:paraId="16E20B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（260）功率较大的激光器有互锁装置、防护罩，激光照射方向不会对他人造成伤害，防止激光发射口及反射镜上扬</w:t>
            </w:r>
          </w:p>
        </w:tc>
        <w:tc>
          <w:tcPr>
            <w:tcW w:w="2543" w:type="dxa"/>
            <w:tcMar>
              <w:left w:w="45" w:type="dxa"/>
              <w:right w:w="45" w:type="dxa"/>
            </w:tcMar>
            <w:vAlign w:val="center"/>
          </w:tcPr>
          <w:p w14:paraId="1FC29C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11C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15AE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12.4.2</w:t>
            </w:r>
          </w:p>
        </w:tc>
        <w:tc>
          <w:tcPr>
            <w:tcW w:w="3703" w:type="dxa"/>
            <w:tcMar>
              <w:left w:w="45" w:type="dxa"/>
              <w:right w:w="45" w:type="dxa"/>
            </w:tcMar>
            <w:vAlign w:val="center"/>
          </w:tcPr>
          <w:p w14:paraId="4449CD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进行激光实验时须佩戴合适的个体防护用具</w:t>
            </w:r>
          </w:p>
        </w:tc>
        <w:tc>
          <w:tcPr>
            <w:tcW w:w="7777" w:type="dxa"/>
            <w:tcMar>
              <w:left w:w="45" w:type="dxa"/>
              <w:right w:w="45" w:type="dxa"/>
            </w:tcMar>
            <w:vAlign w:val="center"/>
          </w:tcPr>
          <w:p w14:paraId="78E319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（261）操作人员佩戴防护眼镜等防护用品、不戴手表等能反光的物品，</w:t>
            </w:r>
            <w:r>
              <w:rPr>
                <w:rFonts w:hint="default" w:ascii="Times New Roman" w:hAnsi="Times New Roman" w:eastAsia="仿宋_GB2312" w:cs="Times New Roman"/>
                <w:color w:val="auto"/>
                <w:szCs w:val="21"/>
                <w:shd w:val="clear" w:color="auto" w:fill="FFFFFF"/>
              </w:rPr>
              <w:t>禁止直视激光束和它的反向光束，禁止对激光器件做任何目视准直操作，</w:t>
            </w:r>
            <w:r>
              <w:rPr>
                <w:rFonts w:hint="default" w:ascii="Times New Roman" w:hAnsi="Times New Roman" w:eastAsia="仿宋_GB2312" w:cs="Times New Roman"/>
                <w:bCs/>
                <w:color w:val="auto"/>
                <w:kern w:val="0"/>
                <w:szCs w:val="21"/>
              </w:rPr>
              <w:t>禁止用眼睛检查激光器故障，检查激光器必须在断电情况下进行</w:t>
            </w:r>
          </w:p>
        </w:tc>
        <w:tc>
          <w:tcPr>
            <w:tcW w:w="2543" w:type="dxa"/>
            <w:tcMar>
              <w:left w:w="45" w:type="dxa"/>
              <w:right w:w="45" w:type="dxa"/>
            </w:tcMar>
            <w:vAlign w:val="center"/>
          </w:tcPr>
          <w:p w14:paraId="16EA24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6FF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D78A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12.4.3</w:t>
            </w:r>
          </w:p>
        </w:tc>
        <w:tc>
          <w:tcPr>
            <w:tcW w:w="3703" w:type="dxa"/>
            <w:tcMar>
              <w:left w:w="45" w:type="dxa"/>
              <w:right w:w="45" w:type="dxa"/>
            </w:tcMar>
            <w:vAlign w:val="center"/>
          </w:tcPr>
          <w:p w14:paraId="6CFBA2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警告标识</w:t>
            </w:r>
          </w:p>
        </w:tc>
        <w:tc>
          <w:tcPr>
            <w:tcW w:w="7777" w:type="dxa"/>
            <w:tcMar>
              <w:left w:w="45" w:type="dxa"/>
              <w:right w:w="45" w:type="dxa"/>
            </w:tcMar>
            <w:vAlign w:val="center"/>
          </w:tcPr>
          <w:p w14:paraId="03D5EC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（262）所有激光区域内张贴警告标识</w:t>
            </w:r>
          </w:p>
        </w:tc>
        <w:tc>
          <w:tcPr>
            <w:tcW w:w="2543" w:type="dxa"/>
            <w:tcMar>
              <w:left w:w="45" w:type="dxa"/>
              <w:right w:w="45" w:type="dxa"/>
            </w:tcMar>
            <w:vAlign w:val="center"/>
          </w:tcPr>
          <w:p w14:paraId="38E55A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35A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8D46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12.5</w:t>
            </w:r>
          </w:p>
        </w:tc>
        <w:tc>
          <w:tcPr>
            <w:tcW w:w="14023" w:type="dxa"/>
            <w:gridSpan w:val="3"/>
            <w:tcMar>
              <w:left w:w="45" w:type="dxa"/>
              <w:right w:w="45" w:type="dxa"/>
            </w:tcMar>
            <w:vAlign w:val="center"/>
          </w:tcPr>
          <w:p w14:paraId="2292F6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粉尘安全</w:t>
            </w:r>
          </w:p>
        </w:tc>
      </w:tr>
      <w:tr w14:paraId="6D89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7606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12.5.1</w:t>
            </w:r>
          </w:p>
        </w:tc>
        <w:tc>
          <w:tcPr>
            <w:tcW w:w="3703" w:type="dxa"/>
            <w:tcMar>
              <w:left w:w="45" w:type="dxa"/>
              <w:right w:w="45" w:type="dxa"/>
            </w:tcMar>
            <w:vAlign w:val="center"/>
          </w:tcPr>
          <w:p w14:paraId="586FBA8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粉尘爆炸危险场所，</w:t>
            </w:r>
            <w:r>
              <w:rPr>
                <w:rFonts w:hint="default" w:ascii="Times New Roman" w:hAnsi="Times New Roman" w:eastAsia="仿宋_GB2312" w:cs="Times New Roman"/>
                <w:color w:val="auto"/>
                <w:kern w:val="0"/>
                <w:szCs w:val="21"/>
              </w:rPr>
              <w:t>应选用防爆型电气设备</w:t>
            </w:r>
          </w:p>
        </w:tc>
        <w:tc>
          <w:tcPr>
            <w:tcW w:w="7777" w:type="dxa"/>
            <w:tcMar>
              <w:left w:w="45" w:type="dxa"/>
              <w:right w:w="45" w:type="dxa"/>
            </w:tcMar>
            <w:vAlign w:val="center"/>
          </w:tcPr>
          <w:p w14:paraId="380632A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（263）防爆灯、防爆电气开关的导线敷设应选用镀锌管，必须达到整体防爆要求。</w:t>
            </w:r>
          </w:p>
          <w:p w14:paraId="5597F9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（264）粉尘加工要有除尘装置，除尘器符合防静电安全要求，除尘设施应有阻爆、隔爆、泄爆装置，使用工具具有防爆功能或不产生火花</w:t>
            </w:r>
          </w:p>
        </w:tc>
        <w:tc>
          <w:tcPr>
            <w:tcW w:w="2543" w:type="dxa"/>
            <w:tcMar>
              <w:left w:w="45" w:type="dxa"/>
              <w:right w:w="45" w:type="dxa"/>
            </w:tcMar>
            <w:vAlign w:val="center"/>
          </w:tcPr>
          <w:p w14:paraId="57E93113">
            <w:pPr>
              <w:pStyle w:val="11"/>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6DB2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10035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12.5.2</w:t>
            </w:r>
          </w:p>
        </w:tc>
        <w:tc>
          <w:tcPr>
            <w:tcW w:w="3703" w:type="dxa"/>
            <w:tcMar>
              <w:left w:w="45" w:type="dxa"/>
              <w:right w:w="45" w:type="dxa"/>
            </w:tcMar>
            <w:vAlign w:val="center"/>
          </w:tcPr>
          <w:p w14:paraId="58B903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进入产生粉尘的实验场所，须穿戴合适的个体防护用具</w:t>
            </w:r>
          </w:p>
        </w:tc>
        <w:tc>
          <w:tcPr>
            <w:tcW w:w="7777" w:type="dxa"/>
            <w:tcMar>
              <w:left w:w="45" w:type="dxa"/>
              <w:right w:w="45" w:type="dxa"/>
            </w:tcMar>
            <w:vAlign w:val="center"/>
          </w:tcPr>
          <w:p w14:paraId="475E6ED6">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（265）</w:t>
            </w:r>
            <w:r>
              <w:rPr>
                <w:rFonts w:hint="default" w:ascii="Times New Roman" w:hAnsi="Times New Roman" w:eastAsia="仿宋_GB2312" w:cs="Times New Roman"/>
                <w:b/>
                <w:bCs/>
                <w:color w:val="auto"/>
                <w:kern w:val="0"/>
              </w:rPr>
              <w:t>进入粉尘爆炸危险场所</w:t>
            </w:r>
            <w:r>
              <w:rPr>
                <w:rFonts w:hint="default" w:ascii="Times New Roman" w:hAnsi="Times New Roman" w:eastAsia="仿宋_GB2312" w:cs="Times New Roman"/>
                <w:b/>
                <w:bCs/>
                <w:color w:val="auto"/>
                <w:kern w:val="0"/>
                <w:szCs w:val="21"/>
              </w:rPr>
              <w:t>应穿防静电服装，禁止穿化纤材料制作的衣服，工作时必须佩戴防尘口罩和护耳器</w:t>
            </w:r>
          </w:p>
        </w:tc>
        <w:tc>
          <w:tcPr>
            <w:tcW w:w="2543" w:type="dxa"/>
            <w:tcMar>
              <w:left w:w="45" w:type="dxa"/>
              <w:right w:w="45" w:type="dxa"/>
            </w:tcMar>
            <w:vAlign w:val="center"/>
          </w:tcPr>
          <w:p w14:paraId="3E21F9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EB9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F65C2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12.5.3</w:t>
            </w:r>
          </w:p>
        </w:tc>
        <w:tc>
          <w:tcPr>
            <w:tcW w:w="3703" w:type="dxa"/>
            <w:tcMar>
              <w:left w:w="45" w:type="dxa"/>
              <w:right w:w="45" w:type="dxa"/>
            </w:tcMar>
            <w:vAlign w:val="center"/>
          </w:tcPr>
          <w:p w14:paraId="566B1D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确保实验室粉尘浓度在爆炸限以下，并配备灭火装置</w:t>
            </w:r>
          </w:p>
        </w:tc>
        <w:tc>
          <w:tcPr>
            <w:tcW w:w="7777" w:type="dxa"/>
            <w:tcMar>
              <w:left w:w="45" w:type="dxa"/>
              <w:right w:w="45" w:type="dxa"/>
            </w:tcMar>
            <w:vAlign w:val="center"/>
          </w:tcPr>
          <w:p w14:paraId="521765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（266）粉尘浓度较高的场所，应配备必要的加湿装置、静电消除装置以及合适的灭火装置等</w:t>
            </w:r>
          </w:p>
        </w:tc>
        <w:tc>
          <w:tcPr>
            <w:tcW w:w="2543" w:type="dxa"/>
            <w:tcMar>
              <w:left w:w="45" w:type="dxa"/>
              <w:right w:w="45" w:type="dxa"/>
            </w:tcMar>
            <w:vAlign w:val="center"/>
          </w:tcPr>
          <w:p w14:paraId="35C5D059">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3CD3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F16A6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52689E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特种设备与常规冷热设备</w:t>
            </w:r>
          </w:p>
        </w:tc>
      </w:tr>
      <w:tr w14:paraId="184A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6FFD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13.1</w:t>
            </w:r>
          </w:p>
        </w:tc>
        <w:tc>
          <w:tcPr>
            <w:tcW w:w="14023" w:type="dxa"/>
            <w:gridSpan w:val="3"/>
            <w:tcMar>
              <w:left w:w="45" w:type="dxa"/>
              <w:right w:w="45" w:type="dxa"/>
            </w:tcMar>
            <w:vAlign w:val="center"/>
          </w:tcPr>
          <w:p w14:paraId="2EF2F0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起重类设备</w:t>
            </w:r>
          </w:p>
        </w:tc>
      </w:tr>
      <w:tr w14:paraId="1D23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0BF81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13.1.1</w:t>
            </w:r>
          </w:p>
        </w:tc>
        <w:tc>
          <w:tcPr>
            <w:tcW w:w="3703" w:type="dxa"/>
            <w:tcMar>
              <w:left w:w="45" w:type="dxa"/>
              <w:right w:w="45" w:type="dxa"/>
            </w:tcMar>
            <w:vAlign w:val="center"/>
          </w:tcPr>
          <w:p w14:paraId="76A55C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达到《特种设备目录》中起重机械指标的起重设备须取得特种设备使用登记证</w:t>
            </w:r>
          </w:p>
        </w:tc>
        <w:tc>
          <w:tcPr>
            <w:tcW w:w="7777" w:type="dxa"/>
            <w:tcMar>
              <w:left w:w="45" w:type="dxa"/>
              <w:right w:w="45" w:type="dxa"/>
            </w:tcMar>
            <w:vAlign w:val="center"/>
          </w:tcPr>
          <w:p w14:paraId="282F5A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267）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14:paraId="1A6FD7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30E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2BBB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13.1.2</w:t>
            </w:r>
          </w:p>
        </w:tc>
        <w:tc>
          <w:tcPr>
            <w:tcW w:w="3703" w:type="dxa"/>
            <w:tcMar>
              <w:left w:w="45" w:type="dxa"/>
              <w:right w:w="45" w:type="dxa"/>
            </w:tcMar>
            <w:vAlign w:val="center"/>
          </w:tcPr>
          <w:p w14:paraId="4074D6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起重机械作业人员、检验单位须有相关资质</w:t>
            </w:r>
          </w:p>
        </w:tc>
        <w:tc>
          <w:tcPr>
            <w:tcW w:w="7777" w:type="dxa"/>
            <w:tcMar>
              <w:left w:w="45" w:type="dxa"/>
              <w:right w:w="45" w:type="dxa"/>
            </w:tcMar>
            <w:vAlign w:val="center"/>
          </w:tcPr>
          <w:p w14:paraId="2F9E8CE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（268）起重机指挥、起重机司机须取得相应的特种设备安全管理和作业人员证，持证上岗，并每4年复审一次。</w:t>
            </w:r>
          </w:p>
          <w:p w14:paraId="5F71548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（269）委托有资质的单位进行定期检验，并将《特种设备使用标志》置于特种设备的显著位置</w:t>
            </w:r>
          </w:p>
        </w:tc>
        <w:tc>
          <w:tcPr>
            <w:tcW w:w="2543" w:type="dxa"/>
            <w:tcMar>
              <w:left w:w="45" w:type="dxa"/>
              <w:right w:w="45" w:type="dxa"/>
            </w:tcMar>
            <w:vAlign w:val="center"/>
          </w:tcPr>
          <w:p w14:paraId="0A1B31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4A82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946CD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13.1.3</w:t>
            </w:r>
          </w:p>
        </w:tc>
        <w:tc>
          <w:tcPr>
            <w:tcW w:w="3703" w:type="dxa"/>
            <w:tcMar>
              <w:left w:w="45" w:type="dxa"/>
              <w:right w:w="45" w:type="dxa"/>
            </w:tcMar>
            <w:vAlign w:val="center"/>
          </w:tcPr>
          <w:p w14:paraId="1C2568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起重机械须定期保养，设置警示标识，安装防护设施</w:t>
            </w:r>
          </w:p>
        </w:tc>
        <w:tc>
          <w:tcPr>
            <w:tcW w:w="7777" w:type="dxa"/>
            <w:tcMar>
              <w:left w:w="45" w:type="dxa"/>
              <w:right w:w="45" w:type="dxa"/>
            </w:tcMar>
            <w:vAlign w:val="center"/>
          </w:tcPr>
          <w:p w14:paraId="669F17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（270）在用起重机械至少每月进行1次日常维护保养和自行检查，并做记录。</w:t>
            </w:r>
          </w:p>
          <w:p w14:paraId="7B2DB4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（271）制定安全操作规程，并在周边醒目位置张贴警示标识，有必要的安全距离和防护措施。</w:t>
            </w:r>
          </w:p>
          <w:p w14:paraId="7E7DD4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（272）起重设备声光报警正常，室内起重设备应标有运行通道。</w:t>
            </w:r>
          </w:p>
          <w:p w14:paraId="5265E8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（273）废弃不用的起重机械应及时拆除</w:t>
            </w:r>
          </w:p>
        </w:tc>
        <w:tc>
          <w:tcPr>
            <w:tcW w:w="2543" w:type="dxa"/>
            <w:tcMar>
              <w:left w:w="45" w:type="dxa"/>
              <w:right w:w="45" w:type="dxa"/>
            </w:tcMar>
            <w:vAlign w:val="center"/>
          </w:tcPr>
          <w:p w14:paraId="69816F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CBE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1769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13.2</w:t>
            </w:r>
          </w:p>
        </w:tc>
        <w:tc>
          <w:tcPr>
            <w:tcW w:w="14023" w:type="dxa"/>
            <w:gridSpan w:val="3"/>
            <w:tcMar>
              <w:left w:w="45" w:type="dxa"/>
              <w:right w:w="45" w:type="dxa"/>
            </w:tcMar>
            <w:vAlign w:val="center"/>
          </w:tcPr>
          <w:p w14:paraId="7F8218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压力容器</w:t>
            </w:r>
          </w:p>
        </w:tc>
      </w:tr>
      <w:tr w14:paraId="2590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CC47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13.2.1</w:t>
            </w:r>
          </w:p>
        </w:tc>
        <w:tc>
          <w:tcPr>
            <w:tcW w:w="3703" w:type="dxa"/>
            <w:tcMar>
              <w:left w:w="45" w:type="dxa"/>
              <w:right w:w="45" w:type="dxa"/>
            </w:tcMar>
            <w:vAlign w:val="center"/>
          </w:tcPr>
          <w:p w14:paraId="58AED7B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压力容器使用登记、相关人员资格</w:t>
            </w:r>
          </w:p>
        </w:tc>
        <w:tc>
          <w:tcPr>
            <w:tcW w:w="7777" w:type="dxa"/>
            <w:tcMar>
              <w:left w:w="45" w:type="dxa"/>
              <w:right w:w="45" w:type="dxa"/>
            </w:tcMar>
            <w:vAlign w:val="center"/>
          </w:tcPr>
          <w:p w14:paraId="31C5E1B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274）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hint="default" w:ascii="Times New Roman" w:hAnsi="Times New Roman" w:eastAsia="仿宋_GB2312" w:cs="Times New Roman"/>
                <w:bCs/>
                <w:color w:val="auto"/>
                <w:kern w:val="0"/>
                <w:szCs w:val="21"/>
              </w:rPr>
              <w:t>须</w:t>
            </w:r>
            <w:r>
              <w:rPr>
                <w:rFonts w:hint="default" w:ascii="Times New Roman" w:hAnsi="Times New Roman" w:eastAsia="仿宋_GB2312" w:cs="Times New Roman"/>
                <w:color w:val="auto"/>
                <w:kern w:val="0"/>
                <w:szCs w:val="21"/>
              </w:rPr>
              <w:t>取得特种设备使用登记证。设备铭牌上标明为简单压力容器的无须办理。（气瓶的安全检查要点见9.6“实验室气体管理”）。</w:t>
            </w:r>
          </w:p>
          <w:p w14:paraId="61C2F4C5">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（275）快开门式压力容器操作人员、移动式压力容器充装人员、氧舱维护保养人员、特种设备安全管理员应</w:t>
            </w:r>
            <w:r>
              <w:rPr>
                <w:rFonts w:hint="default" w:ascii="Times New Roman" w:hAnsi="Times New Roman" w:eastAsia="仿宋_GB2312" w:cs="Times New Roman"/>
                <w:color w:val="auto"/>
                <w:kern w:val="0"/>
                <w:szCs w:val="21"/>
              </w:rPr>
              <w:t>取得相应的特种设备安全管理和作业人员证，持证上岗，并每4年复审1次</w:t>
            </w:r>
          </w:p>
        </w:tc>
        <w:tc>
          <w:tcPr>
            <w:tcW w:w="2543" w:type="dxa"/>
            <w:tcMar>
              <w:left w:w="45" w:type="dxa"/>
              <w:right w:w="45" w:type="dxa"/>
            </w:tcMar>
            <w:vAlign w:val="center"/>
          </w:tcPr>
          <w:p w14:paraId="0AF14364">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48A7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474E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13.2.2</w:t>
            </w:r>
          </w:p>
        </w:tc>
        <w:tc>
          <w:tcPr>
            <w:tcW w:w="3703" w:type="dxa"/>
            <w:tcMar>
              <w:left w:w="45" w:type="dxa"/>
              <w:right w:w="45" w:type="dxa"/>
            </w:tcMar>
            <w:vAlign w:val="center"/>
          </w:tcPr>
          <w:p w14:paraId="1547B81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压力容器定期检验</w:t>
            </w:r>
          </w:p>
        </w:tc>
        <w:tc>
          <w:tcPr>
            <w:tcW w:w="7777" w:type="dxa"/>
            <w:tcMar>
              <w:left w:w="45" w:type="dxa"/>
              <w:right w:w="45" w:type="dxa"/>
            </w:tcMar>
            <w:vAlign w:val="center"/>
          </w:tcPr>
          <w:p w14:paraId="0F799DF3">
            <w:pPr>
              <w:pageBreakBefore w:val="0"/>
              <w:widowControl/>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（276）</w:t>
            </w:r>
            <w:r>
              <w:rPr>
                <w:rFonts w:hint="default" w:ascii="Times New Roman" w:hAnsi="Times New Roman" w:eastAsia="仿宋_GB2312" w:cs="Times New Roman"/>
                <w:b/>
                <w:bCs/>
                <w:color w:val="auto"/>
                <w:kern w:val="0"/>
                <w:szCs w:val="21"/>
              </w:rPr>
              <w:t>委托有资质的单位进行定期检验，并将定期检验合格证置于特种设备的显著位置</w:t>
            </w:r>
          </w:p>
          <w:p w14:paraId="61C427E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（277）</w:t>
            </w:r>
            <w:r>
              <w:rPr>
                <w:rFonts w:hint="default" w:ascii="Times New Roman" w:hAnsi="Times New Roman" w:eastAsia="仿宋_GB2312" w:cs="Times New Roman"/>
                <w:b/>
                <w:bCs/>
                <w:color w:val="auto"/>
                <w:kern w:val="0"/>
                <w:szCs w:val="21"/>
              </w:rPr>
              <w:t>安全阀或压力表等附件须委托有资质的单位定期校验或检定</w:t>
            </w:r>
          </w:p>
        </w:tc>
        <w:tc>
          <w:tcPr>
            <w:tcW w:w="2543" w:type="dxa"/>
            <w:tcMar>
              <w:left w:w="45" w:type="dxa"/>
              <w:right w:w="45" w:type="dxa"/>
            </w:tcMar>
            <w:vAlign w:val="center"/>
          </w:tcPr>
          <w:p w14:paraId="6A49A305">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3363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327A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13.2.3</w:t>
            </w:r>
          </w:p>
        </w:tc>
        <w:tc>
          <w:tcPr>
            <w:tcW w:w="3703" w:type="dxa"/>
            <w:tcMar>
              <w:left w:w="45" w:type="dxa"/>
              <w:right w:w="45" w:type="dxa"/>
            </w:tcMar>
            <w:vAlign w:val="center"/>
          </w:tcPr>
          <w:p w14:paraId="28AD970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压力容器使用管理</w:t>
            </w:r>
          </w:p>
        </w:tc>
        <w:tc>
          <w:tcPr>
            <w:tcW w:w="7777" w:type="dxa"/>
            <w:tcMar>
              <w:left w:w="45" w:type="dxa"/>
              <w:right w:w="45" w:type="dxa"/>
            </w:tcMar>
            <w:vAlign w:val="center"/>
          </w:tcPr>
          <w:p w14:paraId="535CDA6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（278）设置安全管理机构，配备安全管理负责人、安全管理人员和作业人员，建立各项安全管理制度，制定操作规程。</w:t>
            </w:r>
          </w:p>
          <w:p w14:paraId="3407447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（279）实验室应经常巡回检查，发现异常及时处理，并做记录。</w:t>
            </w:r>
          </w:p>
          <w:p w14:paraId="4F52DE0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280）建立压力容器自行检查制度，对压力容器本体及其安全附件、装卸附件安全保护装置、测量调控装置、附属仪器仪表进行经常性维护保养，每月至少进行1次月度检查，每年至少进行1次年度检查，并做记录。</w:t>
            </w:r>
          </w:p>
          <w:p w14:paraId="14772D3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（281）简单压力容器也应建立设备安全管理档案。</w:t>
            </w:r>
          </w:p>
          <w:p w14:paraId="09A7ECE6">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（282）盛装可燃、爆炸性气体的压力容器，其电气设施应防爆，电器开关和熔断器都应设置在明显位置。室外放置的大型气罐应注意防雷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14:paraId="39AB8B61">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4D7D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6FB0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13.2.4</w:t>
            </w:r>
          </w:p>
        </w:tc>
        <w:tc>
          <w:tcPr>
            <w:tcW w:w="3703" w:type="dxa"/>
            <w:tcMar>
              <w:left w:w="45" w:type="dxa"/>
              <w:right w:w="45" w:type="dxa"/>
            </w:tcMar>
            <w:vAlign w:val="center"/>
          </w:tcPr>
          <w:p w14:paraId="52B5EFC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压力容器的使用年限及报废</w:t>
            </w:r>
          </w:p>
        </w:tc>
        <w:tc>
          <w:tcPr>
            <w:tcW w:w="7777" w:type="dxa"/>
            <w:tcMar>
              <w:left w:w="45" w:type="dxa"/>
              <w:right w:w="45" w:type="dxa"/>
            </w:tcMar>
            <w:vAlign w:val="center"/>
          </w:tcPr>
          <w:p w14:paraId="21E5CB2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（283）达到设计使用年限的压力容器应及时报废（未规定设计使用年限，但是使用超过20年的压力容器视为达到使用年限），如若超期使用必须进行检验和安全评估</w:t>
            </w:r>
          </w:p>
        </w:tc>
        <w:tc>
          <w:tcPr>
            <w:tcW w:w="2543" w:type="dxa"/>
            <w:tcMar>
              <w:left w:w="45" w:type="dxa"/>
              <w:right w:w="45" w:type="dxa"/>
            </w:tcMar>
            <w:vAlign w:val="center"/>
          </w:tcPr>
          <w:p w14:paraId="19BAB8E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0D9A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F90B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13.3</w:t>
            </w:r>
          </w:p>
        </w:tc>
        <w:tc>
          <w:tcPr>
            <w:tcW w:w="14023" w:type="dxa"/>
            <w:gridSpan w:val="3"/>
            <w:tcMar>
              <w:left w:w="45" w:type="dxa"/>
              <w:right w:w="45" w:type="dxa"/>
            </w:tcMar>
            <w:vAlign w:val="center"/>
          </w:tcPr>
          <w:p w14:paraId="08B745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场（厂）内专用机动车辆</w:t>
            </w:r>
          </w:p>
        </w:tc>
      </w:tr>
      <w:tr w14:paraId="6F7E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AEA78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13.3.1</w:t>
            </w:r>
          </w:p>
        </w:tc>
        <w:tc>
          <w:tcPr>
            <w:tcW w:w="3703" w:type="dxa"/>
            <w:tcMar>
              <w:left w:w="45" w:type="dxa"/>
              <w:right w:w="45" w:type="dxa"/>
            </w:tcMar>
            <w:vAlign w:val="center"/>
          </w:tcPr>
          <w:p w14:paraId="632C65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场（厂）内专用机动车辆须取得特种设备使用登记证</w:t>
            </w:r>
          </w:p>
        </w:tc>
        <w:tc>
          <w:tcPr>
            <w:tcW w:w="7777" w:type="dxa"/>
            <w:tcMar>
              <w:left w:w="45" w:type="dxa"/>
              <w:right w:w="45" w:type="dxa"/>
            </w:tcMar>
            <w:vAlign w:val="center"/>
          </w:tcPr>
          <w:p w14:paraId="76C3C2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（284）校园内使用的专用机动车辆须取得特种设备使用登记证</w:t>
            </w:r>
          </w:p>
        </w:tc>
        <w:tc>
          <w:tcPr>
            <w:tcW w:w="2543" w:type="dxa"/>
            <w:tcMar>
              <w:left w:w="45" w:type="dxa"/>
              <w:right w:w="45" w:type="dxa"/>
            </w:tcMar>
            <w:vAlign w:val="center"/>
          </w:tcPr>
          <w:p w14:paraId="6A9B0D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C61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E65AF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13.3.2</w:t>
            </w:r>
          </w:p>
        </w:tc>
        <w:tc>
          <w:tcPr>
            <w:tcW w:w="3703" w:type="dxa"/>
            <w:tcMar>
              <w:left w:w="45" w:type="dxa"/>
              <w:right w:w="45" w:type="dxa"/>
            </w:tcMar>
            <w:vAlign w:val="center"/>
          </w:tcPr>
          <w:p w14:paraId="667141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作业人员取得相应的特种设备安全管理和作业人员证，持证上岗</w:t>
            </w:r>
          </w:p>
        </w:tc>
        <w:tc>
          <w:tcPr>
            <w:tcW w:w="7777" w:type="dxa"/>
            <w:tcMar>
              <w:left w:w="45" w:type="dxa"/>
              <w:right w:w="45" w:type="dxa"/>
            </w:tcMar>
            <w:vAlign w:val="center"/>
          </w:tcPr>
          <w:p w14:paraId="65A1B521">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（285）作业人员取得相应的特种设备安全管理和作业人员证，证书在有效期内</w:t>
            </w:r>
          </w:p>
        </w:tc>
        <w:tc>
          <w:tcPr>
            <w:tcW w:w="2543" w:type="dxa"/>
            <w:tcMar>
              <w:left w:w="45" w:type="dxa"/>
              <w:right w:w="45" w:type="dxa"/>
            </w:tcMar>
            <w:vAlign w:val="center"/>
          </w:tcPr>
          <w:p w14:paraId="742B5D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9F7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1693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13.3.3</w:t>
            </w:r>
          </w:p>
        </w:tc>
        <w:tc>
          <w:tcPr>
            <w:tcW w:w="3703" w:type="dxa"/>
            <w:tcMar>
              <w:left w:w="45" w:type="dxa"/>
              <w:right w:w="45" w:type="dxa"/>
            </w:tcMar>
            <w:vAlign w:val="center"/>
          </w:tcPr>
          <w:p w14:paraId="3271A4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委托有资质的单位进行定期检验</w:t>
            </w:r>
          </w:p>
        </w:tc>
        <w:tc>
          <w:tcPr>
            <w:tcW w:w="7777" w:type="dxa"/>
            <w:tcMar>
              <w:left w:w="45" w:type="dxa"/>
              <w:right w:w="45" w:type="dxa"/>
            </w:tcMar>
            <w:vAlign w:val="center"/>
          </w:tcPr>
          <w:p w14:paraId="304B2F7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（286）合格证在有效期内</w:t>
            </w:r>
          </w:p>
        </w:tc>
        <w:tc>
          <w:tcPr>
            <w:tcW w:w="2543" w:type="dxa"/>
            <w:tcMar>
              <w:left w:w="45" w:type="dxa"/>
              <w:right w:w="45" w:type="dxa"/>
            </w:tcMar>
            <w:vAlign w:val="center"/>
          </w:tcPr>
          <w:p w14:paraId="558C36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F39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184F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13.4</w:t>
            </w:r>
          </w:p>
        </w:tc>
        <w:tc>
          <w:tcPr>
            <w:tcW w:w="14023" w:type="dxa"/>
            <w:gridSpan w:val="3"/>
            <w:tcMar>
              <w:left w:w="45" w:type="dxa"/>
              <w:right w:w="45" w:type="dxa"/>
            </w:tcMar>
            <w:vAlign w:val="center"/>
          </w:tcPr>
          <w:p w14:paraId="2F505CC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加热及制冷装置管理</w:t>
            </w:r>
          </w:p>
        </w:tc>
      </w:tr>
      <w:tr w14:paraId="45E2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DD55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13.4.1</w:t>
            </w:r>
          </w:p>
        </w:tc>
        <w:tc>
          <w:tcPr>
            <w:tcW w:w="3703" w:type="dxa"/>
            <w:tcMar>
              <w:left w:w="45" w:type="dxa"/>
              <w:right w:w="45" w:type="dxa"/>
            </w:tcMar>
            <w:vAlign w:val="center"/>
          </w:tcPr>
          <w:p w14:paraId="4F96E0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贮存危险化学品的冰箱满足防爆要求</w:t>
            </w:r>
          </w:p>
        </w:tc>
        <w:tc>
          <w:tcPr>
            <w:tcW w:w="7777" w:type="dxa"/>
            <w:tcMar>
              <w:left w:w="45" w:type="dxa"/>
              <w:right w:w="45" w:type="dxa"/>
            </w:tcMar>
            <w:vAlign w:val="center"/>
          </w:tcPr>
          <w:p w14:paraId="2BD24B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（287）贮存危险化学品的冰箱应为防爆冰箱或经过防爆改造的冰箱，并在冰箱门上注明是否防爆</w:t>
            </w:r>
          </w:p>
        </w:tc>
        <w:tc>
          <w:tcPr>
            <w:tcW w:w="2543" w:type="dxa"/>
            <w:tcMar>
              <w:left w:w="45" w:type="dxa"/>
              <w:right w:w="45" w:type="dxa"/>
            </w:tcMar>
            <w:vAlign w:val="center"/>
          </w:tcPr>
          <w:p w14:paraId="224565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677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0CE5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13.4.2</w:t>
            </w:r>
          </w:p>
        </w:tc>
        <w:tc>
          <w:tcPr>
            <w:tcW w:w="3703" w:type="dxa"/>
            <w:tcMar>
              <w:left w:w="45" w:type="dxa"/>
              <w:right w:w="45" w:type="dxa"/>
            </w:tcMar>
            <w:vAlign w:val="center"/>
          </w:tcPr>
          <w:p w14:paraId="41CB34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冰箱内存放的物品须标识明确，试剂必须可靠密封</w:t>
            </w:r>
          </w:p>
        </w:tc>
        <w:tc>
          <w:tcPr>
            <w:tcW w:w="7777" w:type="dxa"/>
            <w:tcMar>
              <w:left w:w="45" w:type="dxa"/>
              <w:right w:w="45" w:type="dxa"/>
            </w:tcMar>
            <w:vAlign w:val="center"/>
          </w:tcPr>
          <w:p w14:paraId="2FE7E4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（288）标识至少包括：名称、使用人、日期等，并经常清理。</w:t>
            </w:r>
          </w:p>
          <w:p w14:paraId="712A348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（289）实验室冰箱中试剂瓶螺口拧紧，无开口容器，不得放置非实验用食品、药品。超低温冰箱门上有储物分区标识，置于走廊等区域的超低温冰箱须上锁</w:t>
            </w:r>
          </w:p>
        </w:tc>
        <w:tc>
          <w:tcPr>
            <w:tcW w:w="2543" w:type="dxa"/>
            <w:tcMar>
              <w:left w:w="45" w:type="dxa"/>
              <w:right w:w="45" w:type="dxa"/>
            </w:tcMar>
            <w:vAlign w:val="center"/>
          </w:tcPr>
          <w:p w14:paraId="14906F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4C3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6C31A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13.4.3</w:t>
            </w:r>
          </w:p>
        </w:tc>
        <w:tc>
          <w:tcPr>
            <w:tcW w:w="3703" w:type="dxa"/>
            <w:tcMar>
              <w:left w:w="45" w:type="dxa"/>
              <w:right w:w="45" w:type="dxa"/>
            </w:tcMar>
            <w:vAlign w:val="center"/>
          </w:tcPr>
          <w:p w14:paraId="0955DA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冰箱、烘箱、电阻炉的使用满足使用期间和空间等要求</w:t>
            </w:r>
          </w:p>
        </w:tc>
        <w:tc>
          <w:tcPr>
            <w:tcW w:w="7777" w:type="dxa"/>
            <w:tcMar>
              <w:left w:w="45" w:type="dxa"/>
              <w:right w:w="45" w:type="dxa"/>
            </w:tcMar>
            <w:vAlign w:val="center"/>
          </w:tcPr>
          <w:p w14:paraId="5A5452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（290）冰箱不超期使用（一般使用期限控制为10年），如超期使用须经审批。</w:t>
            </w:r>
          </w:p>
          <w:p w14:paraId="4B8F28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（291）冰箱周围留出足够空间，周围不堆放杂物，不影响散热。</w:t>
            </w:r>
          </w:p>
          <w:p w14:paraId="1E4AB4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（292）烘箱、电阻炉不超期使用（一般使用期限控制为12年），如超期使用须经审批。</w:t>
            </w:r>
          </w:p>
          <w:p w14:paraId="27AE3A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（293）加热设备应放置在通风干燥处，不直接放置在木桌、木板等易燃物品上，周围有一定的散热空间，设备旁不能放置易燃易爆化学品、气瓶、冰箱、杂物等，应远离配电箱、插座、接线板等设备</w:t>
            </w:r>
          </w:p>
        </w:tc>
        <w:tc>
          <w:tcPr>
            <w:tcW w:w="2543" w:type="dxa"/>
            <w:tcMar>
              <w:left w:w="45" w:type="dxa"/>
              <w:right w:w="45" w:type="dxa"/>
            </w:tcMar>
            <w:vAlign w:val="center"/>
          </w:tcPr>
          <w:p w14:paraId="6FDB0B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FAD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67DD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13.4.4</w:t>
            </w:r>
          </w:p>
        </w:tc>
        <w:tc>
          <w:tcPr>
            <w:tcW w:w="3703" w:type="dxa"/>
            <w:tcMar>
              <w:left w:w="45" w:type="dxa"/>
              <w:right w:w="45" w:type="dxa"/>
            </w:tcMar>
            <w:vAlign w:val="center"/>
          </w:tcPr>
          <w:p w14:paraId="78B10F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烘箱、电阻炉等加热设备须制定安全操作规程</w:t>
            </w:r>
          </w:p>
        </w:tc>
        <w:tc>
          <w:tcPr>
            <w:tcW w:w="7777" w:type="dxa"/>
            <w:tcMar>
              <w:left w:w="45" w:type="dxa"/>
              <w:right w:w="45" w:type="dxa"/>
            </w:tcMar>
            <w:vAlign w:val="center"/>
          </w:tcPr>
          <w:p w14:paraId="340CC0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（294）加热设备周边醒目位置张贴高温警示标志，并有必要的防护措施，张贴有安全操作规程、警示标志。</w:t>
            </w:r>
          </w:p>
          <w:p w14:paraId="6121A4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（295）</w:t>
            </w:r>
            <w:r>
              <w:rPr>
                <w:rFonts w:hint="default" w:ascii="Times New Roman" w:hAnsi="Times New Roman" w:eastAsia="仿宋_GB2312" w:cs="Times New Roman"/>
                <w:b/>
                <w:bCs/>
                <w:color w:val="auto"/>
                <w:kern w:val="0"/>
                <w:szCs w:val="21"/>
              </w:rPr>
              <w:t>烘箱等加热设备内不准烘烤易燃易爆试剂及易燃物品。</w:t>
            </w:r>
          </w:p>
          <w:p w14:paraId="6856FC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（296）不得使用塑料筐等易燃容器盛放实验物品在烘箱等加热设备内烘烤。</w:t>
            </w:r>
          </w:p>
          <w:p w14:paraId="14732A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（297）烘箱使用完毕，清理物品、切断电源，确认其冷却至安全温度后方能离开。</w:t>
            </w:r>
          </w:p>
          <w:p w14:paraId="362B80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（298）使用电阻炉等明火设备时有人值守。</w:t>
            </w:r>
          </w:p>
          <w:p w14:paraId="33287A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（299）使用加热设备时，温度较高的实验须有人值守或有实时监控措施</w:t>
            </w:r>
          </w:p>
        </w:tc>
        <w:tc>
          <w:tcPr>
            <w:tcW w:w="2543" w:type="dxa"/>
            <w:tcMar>
              <w:left w:w="45" w:type="dxa"/>
              <w:right w:w="45" w:type="dxa"/>
            </w:tcMar>
            <w:vAlign w:val="center"/>
          </w:tcPr>
          <w:p w14:paraId="0108D2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14E2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3027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13.4.5</w:t>
            </w:r>
          </w:p>
        </w:tc>
        <w:tc>
          <w:tcPr>
            <w:tcW w:w="3703" w:type="dxa"/>
            <w:tcMar>
              <w:left w:w="45" w:type="dxa"/>
              <w:right w:w="45" w:type="dxa"/>
            </w:tcMar>
            <w:vAlign w:val="center"/>
          </w:tcPr>
          <w:p w14:paraId="0DCD4F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使用明火电炉或者电吹风须有安全防范举措</w:t>
            </w:r>
          </w:p>
        </w:tc>
        <w:tc>
          <w:tcPr>
            <w:tcW w:w="7777" w:type="dxa"/>
            <w:tcMar>
              <w:left w:w="45" w:type="dxa"/>
              <w:right w:w="45" w:type="dxa"/>
            </w:tcMar>
            <w:vAlign w:val="center"/>
          </w:tcPr>
          <w:p w14:paraId="75A5C7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（300）涉及化学品的实验室不使用明火电炉。如必须使用，须有安全防范措施。</w:t>
            </w:r>
          </w:p>
          <w:p w14:paraId="24261E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（301）</w:t>
            </w:r>
            <w:r>
              <w:rPr>
                <w:rFonts w:hint="default" w:ascii="Times New Roman" w:hAnsi="Times New Roman" w:eastAsia="仿宋_GB2312" w:cs="Times New Roman"/>
                <w:b/>
                <w:bCs/>
                <w:color w:val="auto"/>
                <w:kern w:val="0"/>
                <w:szCs w:val="21"/>
              </w:rPr>
              <w:t>不使用明火电炉加热易燃易爆试剂。</w:t>
            </w:r>
          </w:p>
          <w:p w14:paraId="0FE969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（302）明火电炉、电吹风、电热枪等用毕，须及时拔除电源插头。</w:t>
            </w:r>
          </w:p>
          <w:p w14:paraId="1EC9D9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（303）不可用纸质、木质等材料自制红外灯烘箱</w:t>
            </w:r>
          </w:p>
        </w:tc>
        <w:tc>
          <w:tcPr>
            <w:tcW w:w="2543" w:type="dxa"/>
            <w:tcMar>
              <w:left w:w="45" w:type="dxa"/>
              <w:right w:w="45" w:type="dxa"/>
            </w:tcMar>
            <w:vAlign w:val="center"/>
          </w:tcPr>
          <w:p w14:paraId="259881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bl>
    <w:p w14:paraId="1EFB53B1">
      <w:pPr>
        <w:adjustRightInd w:val="0"/>
        <w:snapToGrid w:val="0"/>
        <w:spacing w:before="156" w:beforeLines="50"/>
        <w:rPr>
          <w:rFonts w:eastAsia="仿宋"/>
        </w:rPr>
      </w:pPr>
      <w:r>
        <w:rPr>
          <w:rFonts w:hint="default" w:ascii="Times New Roman" w:hAnsi="Times New Roman" w:eastAsia="仿宋_GB2312" w:cs="Times New Roman"/>
        </w:rPr>
        <w:t>注：本表所列为基本安全隐患，对于其他各类未尽的安全隐患，务必高度重视，严格按照有关部门安全管理要求，并结合高校自身实际情况，全面加强实验室安全管理工作。</w:t>
      </w:r>
    </w:p>
    <w:p w14:paraId="2E197501">
      <w:pPr>
        <w:adjustRightInd w:val="0"/>
        <w:snapToGrid w:val="0"/>
        <w:spacing w:before="156" w:beforeLines="50"/>
        <w:rPr>
          <w:rFonts w:eastAsia="仿宋"/>
        </w:rPr>
      </w:pPr>
    </w:p>
    <w:p w14:paraId="5E97D38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300" w:right="0" w:rightChars="0"/>
        <w:jc w:val="left"/>
        <w:textAlignment w:val="auto"/>
        <w:rPr>
          <w:rFonts w:hint="eastAsia" w:ascii="仿宋_GB2312" w:hAnsi="仿宋_GB2312" w:eastAsia="仿宋_GB2312" w:cs="仿宋_GB2312"/>
          <w:i w:val="0"/>
          <w:iCs w:val="0"/>
          <w:caps w:val="0"/>
          <w:color w:val="000000"/>
          <w:spacing w:val="0"/>
          <w:kern w:val="0"/>
          <w:sz w:val="32"/>
          <w:szCs w:val="32"/>
          <w:highlight w:val="yellow"/>
          <w:shd w:val="clear" w:fill="FFFFFF"/>
          <w:lang w:val="en-US" w:eastAsia="zh-CN" w:bidi="ar"/>
        </w:rPr>
      </w:pPr>
    </w:p>
    <w:sectPr>
      <w:footerReference r:id="rId5" w:type="default"/>
      <w:pgSz w:w="16838" w:h="11906" w:orient="landscape"/>
      <w:pgMar w:top="1247" w:right="1587" w:bottom="1077" w:left="1588" w:header="851" w:footer="794" w:gutter="0"/>
      <w:pgNumType w:fmt="numberInDash" w:start="17"/>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F16201-E317-48E2-922E-046F5CFB93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68B62EF-A31F-48E7-BBB2-6D899674F6E1}"/>
  </w:font>
  <w:font w:name="Arial Unicode MS">
    <w:panose1 w:val="020B0604020202020204"/>
    <w:charset w:val="86"/>
    <w:family w:val="swiss"/>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3" w:fontKey="{10748BFD-B56F-4B39-9489-F12271AFF1C4}"/>
  </w:font>
  <w:font w:name="楷体">
    <w:panose1 w:val="02010609060101010101"/>
    <w:charset w:val="86"/>
    <w:family w:val="auto"/>
    <w:pitch w:val="default"/>
    <w:sig w:usb0="800002BF" w:usb1="38CF7CFA" w:usb2="00000016" w:usb3="00000000" w:csb0="00040001" w:csb1="00000000"/>
    <w:embedRegular r:id="rId4" w:fontKey="{93374AC0-B8B2-47CF-9EE9-A0BB703EF126}"/>
  </w:font>
  <w:font w:name="仿宋">
    <w:panose1 w:val="02010609060101010101"/>
    <w:charset w:val="86"/>
    <w:family w:val="modern"/>
    <w:pitch w:val="default"/>
    <w:sig w:usb0="800002BF" w:usb1="38CF7CFA" w:usb2="00000016" w:usb3="00000000" w:csb0="00040001" w:csb1="00000000"/>
    <w:embedRegular r:id="rId5" w:fontKey="{D6540691-A60F-4427-B287-1E470FE025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2B70">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-46355</wp:posOffset>
              </wp:positionV>
              <wp:extent cx="1828800" cy="3524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352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BB0303">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3.65pt;height:27.75pt;width:144pt;mso-position-horizontal:outside;mso-position-horizontal-relative:margin;mso-wrap-style:none;z-index:251661312;mso-width-relative:page;mso-height-relative:page;" filled="f" stroked="f" coordsize="21600,21600" o:gfxdata="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C5bH2dYAAAAGAQAADwAAAAAAAAABACAAAAAiAAAAZHJzL2Rvd25yZXYu&#10;eG1sUEsBAhQAFAAAAAgAh07iQFHAxxI2AgAAYAQAAA4AAAAAAAAAAQAgAAAAJQEAAGRycy9lMm9E&#10;b2MueG1sUEsFBgAAAAAGAAYAWQEAAM0FAAAAAA==&#10;">
              <v:fill on="f" focussize="0,0"/>
              <v:stroke on="f" weight="0.5pt"/>
              <v:imagedata o:title=""/>
              <o:lock v:ext="edit" aspectratio="f"/>
              <v:textbox inset="0mm,0mm,0mm,0mm">
                <w:txbxContent>
                  <w:p w14:paraId="6EBB0303">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B648">
    <w:pPr>
      <w:pStyle w:val="5"/>
      <w:jc w:val="cente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-46355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E2C132">
                          <w:pPr>
                            <w:pStyle w:val="5"/>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17</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65pt;height:144pt;width:144pt;mso-position-horizontal:outside;mso-position-horizontal-relative:margin;mso-wrap-style:none;z-index:251660288;mso-width-relative:page;mso-height-relative:page;" filled="f" stroked="f" coordsize="21600,21600" o:gfxdata="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sV5X31AAAAAcBAAAPAAAAAAAAAAEAIAAAACIAAABkcnMvZG93bnJldi54bWxQSwEC&#10;FAAUAAAACACHTuJAJIJGtDECAABhBAAADgAAAAAAAAABACAAAAAjAQAAZHJzL2Uyb0RvYy54bWxQ&#10;SwUGAAAAAAYABgBZAQAAxgUAAAAA&#10;">
              <v:fill on="f" focussize="0,0"/>
              <v:stroke on="f" weight="0.5pt"/>
              <v:imagedata o:title=""/>
              <o:lock v:ext="edit" aspectratio="f"/>
              <v:textbox inset="0mm,0mm,0mm,0mm" style="mso-fit-shape-to-text:t;">
                <w:txbxContent>
                  <w:p w14:paraId="5BE2C132">
                    <w:pPr>
                      <w:pStyle w:val="5"/>
                      <w:keepNext w:val="0"/>
                      <w:keepLines w:val="0"/>
                      <w:pageBreakBefore w:val="0"/>
                      <w:widowControl w:val="0"/>
                      <w:kinsoku/>
                      <w:wordWrap/>
                      <w:overflowPunct/>
                      <w:topLinePunct w:val="0"/>
                      <w:autoSpaceDE/>
                      <w:autoSpaceDN/>
                      <w:bidi w:val="0"/>
                      <w:adjustRightInd/>
                      <w:snapToGrid w:val="0"/>
                      <w:spacing w:after="0" w:line="240" w:lineRule="auto"/>
                      <w:textAlignment w:val="auto"/>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17</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A933C">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1CA9B9"/>
    <w:multiLevelType w:val="singleLevel"/>
    <w:tmpl w:val="571CA9B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77260"/>
    <w:rsid w:val="0E7C16FE"/>
    <w:rsid w:val="0ECC1555"/>
    <w:rsid w:val="0FEA4C3D"/>
    <w:rsid w:val="14732D9E"/>
    <w:rsid w:val="17E841D8"/>
    <w:rsid w:val="1A46107F"/>
    <w:rsid w:val="1A5260BE"/>
    <w:rsid w:val="1BED2FAE"/>
    <w:rsid w:val="1DAF0E99"/>
    <w:rsid w:val="1DE50313"/>
    <w:rsid w:val="1E7E6480"/>
    <w:rsid w:val="1FA77D95"/>
    <w:rsid w:val="22BC206D"/>
    <w:rsid w:val="25312282"/>
    <w:rsid w:val="28A46DA3"/>
    <w:rsid w:val="29183639"/>
    <w:rsid w:val="2B2576D7"/>
    <w:rsid w:val="365B5C2A"/>
    <w:rsid w:val="3A940645"/>
    <w:rsid w:val="3C834E32"/>
    <w:rsid w:val="3DA82986"/>
    <w:rsid w:val="3F9633FF"/>
    <w:rsid w:val="41384808"/>
    <w:rsid w:val="41B17D2F"/>
    <w:rsid w:val="41C6612A"/>
    <w:rsid w:val="41F14BC9"/>
    <w:rsid w:val="422038F3"/>
    <w:rsid w:val="42C77260"/>
    <w:rsid w:val="49E35145"/>
    <w:rsid w:val="4ADE5503"/>
    <w:rsid w:val="4C910E89"/>
    <w:rsid w:val="4EBE082B"/>
    <w:rsid w:val="53903B07"/>
    <w:rsid w:val="54FE602C"/>
    <w:rsid w:val="564D6A26"/>
    <w:rsid w:val="603718EF"/>
    <w:rsid w:val="6695111E"/>
    <w:rsid w:val="6E0B0643"/>
    <w:rsid w:val="702971CC"/>
    <w:rsid w:val="728C4214"/>
    <w:rsid w:val="75E95C5D"/>
    <w:rsid w:val="78DA2124"/>
    <w:rsid w:val="78F005D1"/>
    <w:rsid w:val="7F862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99"/>
    <w:pPr>
      <w:spacing w:line="460" w:lineRule="exact"/>
      <w:jc w:val="left"/>
    </w:pPr>
    <w:rPr>
      <w:rFonts w:ascii="Calibri" w:hAnsi="Calibri"/>
      <w:szCs w:val="21"/>
    </w:rPr>
  </w:style>
  <w:style w:type="paragraph" w:styleId="4">
    <w:name w:val="Body Text"/>
    <w:basedOn w:val="1"/>
    <w:qFormat/>
    <w:uiPriority w:val="1"/>
    <w:pPr>
      <w:autoSpaceDE w:val="0"/>
      <w:autoSpaceDN w:val="0"/>
      <w:jc w:val="left"/>
    </w:pPr>
    <w:rPr>
      <w:rFonts w:ascii="仿宋_GB2312" w:hAnsi="仿宋_GB2312" w:eastAsia="仿宋_GB2312" w:cs="仿宋_GB2312"/>
      <w:kern w:val="0"/>
      <w:sz w:val="32"/>
      <w:szCs w:val="32"/>
      <w:lang w:eastAsia="en-US"/>
    </w:rPr>
  </w:style>
  <w:style w:type="paragraph" w:styleId="5">
    <w:name w:val="footer"/>
    <w:basedOn w:val="1"/>
    <w:qFormat/>
    <w:uiPriority w:val="99"/>
    <w:pPr>
      <w:tabs>
        <w:tab w:val="center" w:pos="4153"/>
        <w:tab w:val="right" w:pos="8306"/>
      </w:tabs>
      <w:snapToGrid w:val="0"/>
      <w:jc w:val="left"/>
    </w:pPr>
    <w:rPr>
      <w:kern w:val="0"/>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0" w:after="0" w:afterAutospacing="0"/>
      <w:ind w:left="0" w:right="0"/>
      <w:jc w:val="left"/>
    </w:pPr>
    <w:rPr>
      <w:kern w:val="0"/>
      <w:sz w:val="24"/>
      <w:lang w:val="en-US" w:eastAsia="zh-CN" w:bidi="ar"/>
    </w:rPr>
  </w:style>
  <w:style w:type="paragraph" w:customStyle="1" w:styleId="10">
    <w:name w:val="Default"/>
    <w:unhideWhenUsed/>
    <w:qFormat/>
    <w:uiPriority w:val="0"/>
    <w:pPr>
      <w:widowControl w:val="0"/>
      <w:autoSpaceDE w:val="0"/>
      <w:autoSpaceDN w:val="0"/>
      <w:adjustRightInd w:val="0"/>
    </w:pPr>
    <w:rPr>
      <w:rFonts w:hint="eastAsia" w:ascii="Arial Unicode MS" w:hAnsi="Calibri" w:eastAsia="Arial Unicode MS" w:cs="Arial Unicode MS"/>
      <w:color w:val="000000"/>
      <w:sz w:val="24"/>
      <w:szCs w:val="24"/>
      <w:lang w:val="en-US" w:eastAsia="zh-CN" w:bidi="ar-SA"/>
    </w:rPr>
  </w:style>
  <w:style w:type="paragraph" w:customStyle="1" w:styleId="11">
    <w:name w:val="列出段落2"/>
    <w:basedOn w:val="1"/>
    <w:qFormat/>
    <w:uiPriority w:val="0"/>
    <w:pPr>
      <w:ind w:firstLine="420" w:firstLineChars="200"/>
    </w:pPr>
    <w:rPr>
      <w:rFonts w:ascii="等线" w:hAnsi="等线" w:eastAsia="等线"/>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c1cfd464-a6a3-4f50-aa4a-51908c4a22ea</errorID>
      <errorWord>有</errorWord>
      <group>L1_Word</group>
      <groupName>字词问题</groupName>
      <ability>L2_Typo</ability>
      <abilityName>字词错误</abilityName>
      <candidateList>
        <item>在</item>
      </candidateList>
      <explain>存在字形相近字词的误用。</explain>
      <paraID>3F6E3B9B</paraID>
      <start>6</start>
      <end>7</end>
      <status>ignored</status>
      <modifiedWord/>
      <trackRevisions>false</trackRevisions>
    </reviewItem>
    <reviewItem>
      <errorID>da2f9362-fbcd-4c0e-a0f6-38300bb08646</errorID>
      <errorWord>通知到</errorWord>
      <group>L1_Word</group>
      <groupName>字词问题</groupName>
      <ability>L2_Typo</ability>
      <abilityName>字词错误</abilityName>
      <candidateList>
        <item>通知</item>
      </candidateList>
      <explain/>
      <paraID> 438D70B</paraID>
      <start>14</start>
      <end>17</end>
      <status>ignored</status>
      <modifiedWord/>
      <trackRevisions>false</trackRevisions>
    </reviewItem>
    <reviewItem>
      <errorID>e4b97800-f820-43b7-8c8a-1a5efaf750b7</errorID>
      <errorWord>须</errorWord>
      <group>L1_Word</group>
      <groupName>字词问题</groupName>
      <ability>L2_Typo</ability>
      <abilityName>字词错误</abilityName>
      <candidateList>
        <item>需</item>
      </candidateList>
      <explain>存在发音相同字词的误用。</explain>
      <paraID>727C22E4</paraID>
      <start>2</start>
      <end>3</end>
      <status>ignored</status>
      <modifiedWord/>
      <trackRevisions>false</trackRevisions>
    </reviewItem>
    <reviewItem>
      <errorID>f1776d0f-e459-45bc-82a5-d76a41ca6ee3</errorID>
      <errorWord>二条</errorWord>
      <group>L1_Word</group>
      <groupName>字词问题</groupName>
      <ability>L2_Typo</ability>
      <abilityName>字词错误</abilityName>
      <candidateList>
        <item>两条</item>
      </candidateList>
      <explain/>
      <paraID> A56BD73</paraID>
      <start>34</start>
      <end>36</end>
      <status>ignored</status>
      <modifiedWord/>
      <trackRevisions>false</trackRevisions>
    </reviewItem>
    <reviewItem>
      <errorID>28a88e80-1b22-4986-91e9-4e385c21ecda</errorID>
      <errorWord>~</errorWord>
      <group>L1_Format</group>
      <groupName>格式问题</groupName>
      <ability>L2_HalfPunc_CN</ability>
      <abilityName>全半角问题</abilityName>
      <candidateList>
        <item>～</item>
      </candidateList>
      <explain>文本全半角错误。</explain>
      <paraID>7D510C3D</paraID>
      <start>25</start>
      <end>26</end>
      <status>ignored</status>
      <modifiedWord/>
      <trackRevisions>false</trackRevisions>
    </reviewItem>
    <reviewItem>
      <errorID>56fa6e69-91c9-4f79-b57f-647f86f1d8d2</errorID>
      <errorWord>操作合</errorWord>
      <group>L1_Word</group>
      <groupName>字词问题</groupName>
      <ability>L2_Typo</ability>
      <abilityName>字词错误</abilityName>
      <candidateList>
        <item>操作台</item>
      </candidateList>
      <explain/>
      <paraID>10FD2679</paraID>
      <start>13</start>
      <end>16</end>
      <status>ignored</status>
      <modifiedWord/>
      <trackRevisions>false</trackRevisions>
    </reviewItem>
    <reviewItem>
      <errorID>494e63e0-d75e-4aa7-8d04-94fa7f54c345</errorID>
      <errorWord>曝露</errorWord>
      <group>L1_Word</group>
      <groupName>字词问题</groupName>
      <ability>L2_Typo</ability>
      <abilityName>字词错误</abilityName>
      <candidateList>
        <item>暴露</item>
      </candidateList>
      <explain/>
      <paraID>3EEBD763</paraID>
      <start>21</start>
      <end>23</end>
      <status>ignored</status>
      <modifiedWord/>
      <trackRevisions>false</trackRevisions>
    </reviewItem>
    <reviewItem>
      <errorID>caeb1519-c0cc-446f-9253-d7bbe9252b10</errorID>
      <errorWord>须</errorWord>
      <group>L1_Word</group>
      <groupName>字词问题</groupName>
      <ability>L2_Typo</ability>
      <abilityName>字词错误</abilityName>
      <candidateList>
        <item>需</item>
      </candidateList>
      <explain>存在发音相同字词的误用。</explain>
      <paraID>2025A5DD</paraID>
      <start>50</start>
      <end>51</end>
      <status>ignored</status>
      <modifiedWord/>
      <trackRevisions>false</trackRevisions>
    </reviewItem>
    <reviewItem>
      <errorID>880bd2f0-4a11-4d45-9bf2-c9f548432a79</errorID>
      <errorWord>须</errorWord>
      <group>L1_Word</group>
      <groupName>字词问题</groupName>
      <ability>L2_Typo</ability>
      <abilityName>字词错误</abilityName>
      <candidateList>
        <item>需</item>
      </candidateList>
      <explain>存在发音相同字词的误用。</explain>
      <paraID>731A19FF</paraID>
      <start>10</start>
      <end>11</end>
      <status>ignored</status>
      <modifiedWord/>
      <trackRevisions>false</trackRevisions>
    </reviewItem>
    <reviewItem>
      <errorID>21a87402-0515-45ef-a852-ad477fa564bf</errorID>
      <errorWord>砂箱</errorWord>
      <group>L1_Word</group>
      <groupName>字词问题</groupName>
      <ability>L2_Typo</ability>
      <abilityName>字词错误</abilityName>
      <candidateList>
        <item>沙箱</item>
      </candidateList>
      <explain>存在发音相同字词的误用。</explain>
      <paraID>53548314</paraID>
      <start>45</start>
      <end>47</end>
      <status>ignored</status>
      <modifiedWord/>
      <trackRevisions>false</trackRevisions>
    </reviewItem>
    <reviewItem>
      <errorID>3501a0ea-9abf-4506-9633-da6ec65d0dd0</errorID>
      <errorWord>不</errorWord>
      <group>L1_Word</group>
      <groupName>字词问题</groupName>
      <ability>L2_Typo</ability>
      <abilityName>字词错误</abilityName>
      <candidateList>
        <item>不得</item>
      </candidateList>
      <explain/>
      <paraID>4D17F78C</paraID>
      <start>20</start>
      <end>21</end>
      <status>unmodified</status>
      <modifiedWord/>
      <trackRevisions>false</trackRevisions>
    </reviewItem>
    <reviewItem>
      <errorID>2c62d535-1bbc-41b4-babd-841d4ff92fa6</errorID>
      <errorWord>Kg</errorWord>
      <group>L1_Word</group>
      <groupName>字词问题</groupName>
      <ability>L2_Typo</ability>
      <abilityName>字词错误</abilityName>
      <candidateList>
        <item>kg</item>
      </candidateList>
      <explain/>
      <paraID>791F49B2</paraID>
      <start>46</start>
      <end>48</end>
      <status>unmodified</status>
      <modifiedWord/>
      <trackRevisions>false</trackRevisions>
    </reviewItem>
    <reviewItem>
      <errorID>4b7dbb8e-8b7a-47ee-b5d4-67208b909537</errorID>
      <errorWord>Kg</errorWord>
      <group>L1_Word</group>
      <groupName>字词问题</groupName>
      <ability>L2_Typo</ability>
      <abilityName>字词错误</abilityName>
      <candidateList>
        <item>kg</item>
      </candidateList>
      <explain/>
      <paraID>791F49B2</paraID>
      <start>74</start>
      <end>76</end>
      <status>unmodified</status>
      <modifiedWord/>
      <trackRevisions>false</trackRevisions>
    </reviewItem>
    <reviewItem>
      <errorID>0eaee022-fec6-4a27-abe0-7757d424d3c3</errorID>
      <errorWord>Kg</errorWord>
      <group>L1_Word</group>
      <groupName>字词问题</groupName>
      <ability>L2_Typo</ability>
      <abilityName>字词错误</abilityName>
      <candidateList>
        <item>kg</item>
      </candidateList>
      <explain/>
      <paraID>791F49B2</paraID>
      <start>94</start>
      <end>96</end>
      <status>unmodified</status>
      <modifiedWord/>
      <trackRevisions>false</trackRevisions>
    </reviewItem>
    <reviewItem>
      <errorID>ba548dbf-5cf2-4882-81a2-daa7b3e04825</errorID>
      <errorWord>,</errorWord>
      <group>L1_Format</group>
      <groupName>格式问题</groupName>
      <ability>L2_HalfPunc_CN</ability>
      <abilityName>全半角问题</abilityName>
      <candidateList>
        <item>，</item>
      </candidateList>
      <explain>文本全半角错误。</explain>
      <paraID>47F70A78</paraID>
      <start>11</start>
      <end>12</end>
      <status>unmodified</status>
      <modifiedWord/>
      <trackRevisions>false</trackRevisions>
    </reviewItem>
    <reviewItem>
      <errorID>d94bf024-fcb4-44f3-8b6e-4f0274cd733e</errorID>
      <errorWord>须</errorWord>
      <group>L1_Word</group>
      <groupName>字词问题</groupName>
      <ability>L2_Typo</ability>
      <abilityName>字词错误</abilityName>
      <candidateList>
        <item>需</item>
      </candidateList>
      <explain>存在发音相同字词的误用。</explain>
      <paraID>4C620303</paraID>
      <start>14</start>
      <end>15</end>
      <status>unmodified</status>
      <modifiedWord/>
      <trackRevisions>false</trackRevisions>
    </reviewItem>
    <reviewItem>
      <errorID>c972efe4-507c-40a1-a711-c93fee891ec3</errorID>
      <errorWord>，</errorWord>
      <group>L1_Word</group>
      <groupName>字词问题</groupName>
      <ability>L2_Typo</ability>
      <abilityName>字词错误</abilityName>
      <candidateList>
        <item>，必</item>
      </candidateList>
      <explain/>
      <paraID>13A862E0</paraID>
      <start>15</start>
      <end>16</end>
      <status>unmodified</status>
      <modifiedWord/>
      <trackRevisions>false</trackRevisions>
    </reviewItem>
    <reviewItem>
      <errorID>b56a7515-f5c5-4e9d-8bd5-5b4a4a26daef</errorID>
      <errorWord>法律、法规</errorWord>
      <group>L1_Word</group>
      <groupName>字词问题</groupName>
      <ability>L2_Typo</ability>
      <abilityName>字词错误</abilityName>
      <candidateList>
        <item>法律法规</item>
      </candidateList>
      <explain/>
      <paraID>52314504</paraID>
      <start>8</start>
      <end>13</end>
      <status>unmodified</status>
      <modifiedWord/>
      <trackRevisions>false</trackRevisions>
    </reviewItem>
    <reviewItem>
      <errorID>f7f4e2a0-541e-4209-9a61-12a627f60736</errorID>
      <errorWord>II级</errorWord>
      <group>L1_Knowledge</group>
      <groupName>知识性问题</groupName>
      <ability>L2_Knowledge</ability>
      <abilityName>其他知识</abilityName>
      <candidateList>
        <item>Ⅱ级</item>
      </candidateList>
      <explain>中文环境下罗马数字格式错误。</explain>
      <paraID> 47E4684</paraID>
      <start>22</start>
      <end>25</end>
      <status>unmodified</status>
      <modifiedWord/>
      <trackRevisions>false</trackRevisions>
    </reviewItem>
    <reviewItem>
      <errorID>7f1e4976-d151-4b5d-bc92-2e96b2f3e373</errorID>
      <errorWord>设安全警示</errorWord>
      <group>L1_Word</group>
      <groupName>字词问题</groupName>
      <ability>L2_Typo</ability>
      <abilityName>字词错误</abilityName>
      <candidateList>
        <item>设置安全警示</item>
      </candidateList>
      <explain/>
      <paraID>64FC7276</paraID>
      <start>19</start>
      <end>24</end>
      <status>unmodified</status>
      <modifiedWord/>
      <trackRevisions>false</trackRevisions>
    </reviewItem>
    <reviewItem>
      <errorID>d68a77e9-f586-48ba-8fda-97b116f0dbb2</errorID>
      <errorWord>实施</errorWord>
      <group>L1_Word</group>
      <groupName>字词问题</groupName>
      <ability>L2_Typo</ability>
      <abilityName>字词错误</abilityName>
      <candidateList>
        <item>实时</item>
      </candidateList>
      <explain/>
      <paraID>3B9319DB</paraID>
      <start>5</start>
      <end>7</end>
      <status>unmodified</status>
      <modifiedWord/>
      <trackRevisions>false</trackRevisions>
    </reviewItem>
    <reviewItem>
      <errorID>83e33293-942a-418f-9f43-27438bf0beb9</errorID>
      <errorWord>，</errorWord>
      <group>L1_Word</group>
      <groupName>字词问题</groupName>
      <ability>L2_Typo</ability>
      <abilityName>字词错误</abilityName>
      <candidateList>
        <item>，具</item>
      </candidateList>
      <explain/>
      <paraID>3C97FBE9</paraID>
      <start>11</start>
      <end>12</end>
      <status>unmodified</status>
      <modifiedWord/>
      <trackRevisions>false</trackRevisions>
    </reviewItem>
    <reviewItem>
      <errorID>86a39335-4e1b-4ae7-8b44-aac3e6884e8b</errorID>
      <errorWord>操作合</errorWord>
      <group>L1_Word</group>
      <groupName>字词问题</groupName>
      <ability>L2_Typo</ability>
      <abilityName>字词错误</abilityName>
      <candidateList>
        <item>操作台</item>
      </candidateList>
      <explain/>
      <paraID> FC24FA4</paraID>
      <start>2</start>
      <end>5</end>
      <status>unmodified</status>
      <modifiedWord/>
      <trackRevisions>false</trackRevisions>
    </reviewItem>
    <reviewItem>
      <errorID>783857d2-bafe-47b4-810d-96f3c9ce7551</errorID>
      <errorWord>III类</errorWord>
      <group>L1_Knowledge</group>
      <groupName>知识性问题</groupName>
      <ability>L2_Knowledge</ability>
      <abilityName>其他知识</abilityName>
      <candidateList>
        <item>Ⅲ类</item>
      </candidateList>
      <explain>中文环境下罗马数字格式错误。</explain>
      <paraID> EA13A6F</paraID>
      <start>49</start>
      <end>53</end>
      <status>unmodified</status>
      <modifiedWord/>
      <trackRevisions>false</trackRevisions>
    </reviewItem>
    <reviewItem>
      <errorID>8f05affc-972c-4f08-8509-d1db89ee1697</errorID>
      <errorWord>帐目</errorWord>
      <group>L1_Word</group>
      <groupName>字词问题</groupName>
      <ability>L2_Typo</ability>
      <abilityName>字词错误</abilityName>
      <candidateList>
        <item>账目</item>
      </candidateList>
      <explain/>
      <paraID>12AF5A26</paraID>
      <start>42</start>
      <end>44</end>
      <status>unmodified</status>
      <modifiedWord/>
      <trackRevisions>false</trackRevisions>
    </reviewItem>
    <reviewItem>
      <errorID>fa3df594-4c68-433e-acd8-d9f3b215d8c9</errorID>
      <errorWord>帐物相符</errorWord>
      <group>L1_Word</group>
      <groupName>字词问题</groupName>
      <ability>L2_Alias</ability>
      <abilityName>也作/曾用词</abilityName>
      <candidateList>
        <item>账物相符</item>
      </candidateList>
      <explain>词汇[帐物相符]为不规范表述或旧称，其规范书面表述为[账物相符]。</explain>
      <paraID>12AF5A26</paraID>
      <start>52</start>
      <end>56</end>
      <status>unmodified</status>
      <modifiedWord/>
      <trackRevisions>false</trackRevisions>
    </reviewItem>
    <reviewItem>
      <errorID>d49f63a7-7e86-40e9-a878-23149a3956d1</errorID>
      <errorWord>有</errorWord>
      <group>L1_Word</group>
      <groupName>字词问题</groupName>
      <ability>L2_Typo</ability>
      <abilityName>字词错误</abilityName>
      <candidateList>
        <item>由</item>
      </candidateList>
      <explain>存在发音相同字词的误用。</explain>
      <paraID> D5134D5</paraID>
      <start>15</start>
      <end>16</end>
      <status>unmodified</status>
      <modifiedWord/>
      <trackRevisions>false</trackRevisions>
    </reviewItem>
    <reviewItem>
      <errorID>9a8b44b2-000c-4553-8cf9-7735abfc6250</errorID>
      <errorWord>泄露</errorWord>
      <group>L1_Word</group>
      <groupName>字词问题</groupName>
      <ability>L2_Typo</ability>
      <abilityName>字词错误</abilityName>
      <candidateList>
        <item>泄漏</item>
      </candidateList>
      <explain/>
      <paraID>7A5446B1</paraID>
      <start>13</start>
      <end>15</end>
      <status>unmodified</status>
      <modifiedWord/>
      <trackRevisions>false</trackRevisions>
    </reviewItem>
    <reviewItem>
      <errorID>4063fad5-3d13-4ca3-90ff-0905e49e008d</errorID>
      <errorWord>防爆电气</errorWord>
      <group>L1_Word</group>
      <groupName>字词问题</groupName>
      <ability>L2_Typo</ability>
      <abilityName>字词错误</abilityName>
      <candidateList>
        <item>防爆电器</item>
      </candidateList>
      <explain>存在发音相同字词的误用。</explain>
      <paraID>6895F38F</paraID>
      <start>9</start>
      <end>13</end>
      <status>unmodified</status>
      <modifiedWord/>
      <trackRevisions>false</trackRevisions>
    </reviewItem>
    <reviewItem>
      <errorID>f3fb5b64-c882-4c2d-9a3c-ba4de393c561</errorID>
      <errorWord>，</errorWord>
      <group>L1_Word</group>
      <groupName>字词问题</groupName>
      <ability>L2_Typo</ability>
      <abilityName>字词错误</abilityName>
      <candidateList>
        <item>，具</item>
      </candidateList>
      <explain/>
      <paraID>7F7CB030</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3933f0-97d0-45e5-9d15-c555f758816e}">
  <ds:schemaRefs/>
</ds:datastoreItem>
</file>

<file path=docProps/app.xml><?xml version="1.0" encoding="utf-8"?>
<Properties xmlns="http://schemas.openxmlformats.org/officeDocument/2006/extended-properties" xmlns:vt="http://schemas.openxmlformats.org/officeDocument/2006/docPropsVTypes">
  <Template>Normal.dotm</Template>
  <Pages>25</Pages>
  <Words>8646</Words>
  <Characters>9287</Characters>
  <Lines>0</Lines>
  <Paragraphs>0</Paragraphs>
  <TotalTime>15</TotalTime>
  <ScaleCrop>false</ScaleCrop>
  <LinksUpToDate>false</LinksUpToDate>
  <CharactersWithSpaces>9295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2025-09-23T08:56:00Z</dcterms:created>
  <dc:creator>翡冷翠</dc:creator>
  <cp:lastModifiedBy>user</cp:lastModifiedBy>
  <cp:lastPrinted>2026-10-19T08:19:00Z</cp:lastPrinted>
  <dcterms:modified xsi:type="dcterms:W3CDTF">2026-10-19T08:40:54Z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D3F5C477C1E44C04A32B2922CF4D008A_13</vt:lpwstr>
  </property>
  <property fmtid="{D5CDD505-2E9C-101B-9397-08002B2CF9AE}" pid="4" name="KSOTemplateDocerSaveRecord">
    <vt:lpwstr>eyJoZGlkIjoiYzhkMjk1NDQ2ZmQwODliNDc1YzhiOWI2NGU0MzlkY2UiLCJ1c2VySWQiOiIyMzA4MDQzNjIifQ==</vt:lpwstr>
  </property>
</Properties>
</file>