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75B941">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附件1</w:t>
      </w:r>
    </w:p>
    <w:p w14:paraId="34AE1314">
      <w:pPr>
        <w:rPr>
          <w:rFonts w:hint="eastAsia"/>
        </w:rPr>
      </w:pPr>
    </w:p>
    <w:p w14:paraId="5E9D64E5">
      <w:pPr>
        <w:pStyle w:val="3"/>
        <w:keepNext w:val="0"/>
        <w:keepLines w:val="0"/>
        <w:pageBreakBefore w:val="0"/>
        <w:kinsoku/>
        <w:wordWrap/>
        <w:overflowPunct/>
        <w:topLinePunct w:val="0"/>
        <w:autoSpaceDE/>
        <w:autoSpaceDN/>
        <w:bidi w:val="0"/>
        <w:adjustRightInd/>
        <w:snapToGrid/>
        <w:spacing w:after="0" w:line="600" w:lineRule="exact"/>
        <w:ind w:firstLine="0" w:firstLineChars="0"/>
        <w:jc w:val="center"/>
        <w:textAlignment w:val="auto"/>
        <w:rPr>
          <w:rFonts w:hint="eastAsia" w:ascii="方正小标宋简体" w:hAnsi="方正小标宋简体" w:eastAsia="方正小标宋简体" w:cs="方正小标宋简体"/>
          <w:color w:val="auto"/>
          <w:spacing w:val="0"/>
          <w:sz w:val="44"/>
          <w:szCs w:val="44"/>
          <w:highlight w:val="none"/>
        </w:rPr>
      </w:pPr>
      <w:r>
        <w:rPr>
          <w:rFonts w:hint="eastAsia" w:ascii="方正小标宋简体" w:hAnsi="方正小标宋简体" w:eastAsia="方正小标宋简体" w:cs="方正小标宋简体"/>
          <w:color w:val="auto"/>
          <w:spacing w:val="0"/>
          <w:sz w:val="44"/>
          <w:szCs w:val="44"/>
          <w:highlight w:val="none"/>
        </w:rPr>
        <w:t>课题指南</w:t>
      </w:r>
    </w:p>
    <w:p w14:paraId="799F5B97">
      <w:pPr>
        <w:pStyle w:val="3"/>
        <w:keepNext w:val="0"/>
        <w:keepLines w:val="0"/>
        <w:pageBreakBefore w:val="0"/>
        <w:kinsoku/>
        <w:wordWrap/>
        <w:overflowPunct/>
        <w:topLinePunct w:val="0"/>
        <w:autoSpaceDE/>
        <w:autoSpaceDN/>
        <w:bidi w:val="0"/>
        <w:adjustRightInd/>
        <w:snapToGrid/>
        <w:spacing w:after="0" w:line="600" w:lineRule="exact"/>
        <w:ind w:firstLine="0" w:firstLineChars="0"/>
        <w:jc w:val="left"/>
        <w:textAlignment w:val="auto"/>
        <w:rPr>
          <w:rFonts w:hint="eastAsia" w:ascii="方正小标宋简体" w:hAnsi="方正小标宋简体" w:eastAsia="方正小标宋简体" w:cs="方正小标宋简体"/>
          <w:color w:val="auto"/>
          <w:spacing w:val="0"/>
          <w:sz w:val="44"/>
          <w:szCs w:val="44"/>
          <w:highlight w:val="none"/>
        </w:rPr>
      </w:pPr>
    </w:p>
    <w:p w14:paraId="0968A12A">
      <w:pPr>
        <w:pStyle w:val="3"/>
        <w:keepNext w:val="0"/>
        <w:keepLines w:val="0"/>
        <w:pageBreakBefore w:val="0"/>
        <w:kinsoku/>
        <w:wordWrap/>
        <w:overflowPunct/>
        <w:topLinePunct w:val="0"/>
        <w:autoSpaceDE/>
        <w:autoSpaceDN/>
        <w:bidi w:val="0"/>
        <w:adjustRightInd/>
        <w:snapToGrid/>
        <w:spacing w:after="0" w:line="600" w:lineRule="exact"/>
        <w:ind w:firstLine="0" w:firstLineChars="0"/>
        <w:jc w:val="left"/>
        <w:textAlignment w:val="auto"/>
        <w:rPr>
          <w:rFonts w:ascii="仿宋_GB2312" w:eastAsia="黑体"/>
          <w:color w:val="auto"/>
          <w:spacing w:val="0"/>
          <w:sz w:val="32"/>
          <w:szCs w:val="32"/>
          <w:highlight w:val="none"/>
        </w:rPr>
      </w:pPr>
      <w:r>
        <w:rPr>
          <w:rFonts w:hint="eastAsia" w:ascii="黑体" w:hAnsi="黑体" w:eastAsia="黑体" w:cs="黑体"/>
          <w:color w:val="auto"/>
          <w:spacing w:val="0"/>
          <w:sz w:val="32"/>
          <w:szCs w:val="32"/>
          <w:highlight w:val="none"/>
        </w:rPr>
        <w:t>一、</w:t>
      </w:r>
      <w:r>
        <w:rPr>
          <w:rFonts w:hint="eastAsia" w:ascii="黑体" w:hAnsi="黑体" w:eastAsia="黑体" w:cs="黑体"/>
          <w:bCs/>
          <w:color w:val="auto"/>
          <w:spacing w:val="0"/>
          <w:sz w:val="32"/>
          <w:szCs w:val="32"/>
          <w:highlight w:val="none"/>
        </w:rPr>
        <w:t>福建省中青年教师教育科研项目</w:t>
      </w:r>
      <w:r>
        <w:rPr>
          <w:rFonts w:hint="eastAsia" w:ascii="黑体" w:hAnsi="黑体" w:eastAsia="黑体" w:cs="黑体"/>
          <w:bCs/>
          <w:color w:val="auto"/>
          <w:spacing w:val="0"/>
          <w:sz w:val="32"/>
          <w:szCs w:val="32"/>
          <w:highlight w:val="none"/>
          <w:lang w:eastAsia="zh-CN"/>
        </w:rPr>
        <w:t>（社科类）</w:t>
      </w:r>
      <w:r>
        <w:rPr>
          <w:rFonts w:hint="eastAsia" w:ascii="黑体" w:hAnsi="黑体" w:eastAsia="黑体" w:cs="黑体"/>
          <w:bCs/>
          <w:color w:val="auto"/>
          <w:spacing w:val="0"/>
          <w:sz w:val="32"/>
          <w:szCs w:val="32"/>
          <w:highlight w:val="none"/>
        </w:rPr>
        <w:t>一般项目</w:t>
      </w:r>
    </w:p>
    <w:p w14:paraId="2CB0306D">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auto"/>
          <w:sz w:val="32"/>
          <w:szCs w:val="32"/>
        </w:rPr>
      </w:pPr>
      <w:r>
        <w:rPr>
          <w:rFonts w:hint="eastAsia" w:ascii="Times New Roman" w:hAnsi="Times New Roman" w:eastAsia="仿宋_GB2312"/>
          <w:color w:val="auto"/>
          <w:sz w:val="32"/>
          <w:szCs w:val="32"/>
          <w:lang w:val="en-US" w:eastAsia="zh-CN"/>
        </w:rPr>
        <w:t>习近平新时代中国特色社会主义思想体系化学理化研究</w:t>
      </w:r>
    </w:p>
    <w:p w14:paraId="6E93F03A">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习近平新时代中国特色社会主义思想的标识性概念与原创性理论研究</w:t>
      </w:r>
    </w:p>
    <w:p w14:paraId="1D0F35C3">
      <w:pPr>
        <w:keepNext w:val="0"/>
        <w:keepLines w:val="0"/>
        <w:pageBreakBefore w:val="0"/>
        <w:numPr>
          <w:ilvl w:val="0"/>
          <w:numId w:val="1"/>
        </w:numPr>
        <w:tabs>
          <w:tab w:val="left" w:pos="0"/>
        </w:tabs>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习近平经济思想研究</w:t>
      </w:r>
    </w:p>
    <w:p w14:paraId="0EECBFE3">
      <w:pPr>
        <w:keepNext w:val="0"/>
        <w:keepLines w:val="0"/>
        <w:pageBreakBefore w:val="0"/>
        <w:numPr>
          <w:ilvl w:val="0"/>
          <w:numId w:val="1"/>
        </w:numPr>
        <w:tabs>
          <w:tab w:val="left" w:pos="0"/>
        </w:tabs>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习近平法治思想研究</w:t>
      </w:r>
    </w:p>
    <w:p w14:paraId="24D736A8">
      <w:pPr>
        <w:keepNext w:val="0"/>
        <w:keepLines w:val="0"/>
        <w:pageBreakBefore w:val="0"/>
        <w:numPr>
          <w:ilvl w:val="0"/>
          <w:numId w:val="1"/>
        </w:numPr>
        <w:tabs>
          <w:tab w:val="left" w:pos="0"/>
        </w:tabs>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习近平生态文明思想研究</w:t>
      </w:r>
    </w:p>
    <w:p w14:paraId="5A6F7F65">
      <w:pPr>
        <w:keepNext w:val="0"/>
        <w:keepLines w:val="0"/>
        <w:pageBreakBefore w:val="0"/>
        <w:numPr>
          <w:ilvl w:val="0"/>
          <w:numId w:val="1"/>
        </w:numPr>
        <w:tabs>
          <w:tab w:val="left" w:pos="0"/>
        </w:tabs>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习近平强军思想研究</w:t>
      </w:r>
    </w:p>
    <w:p w14:paraId="2DF2237B">
      <w:pPr>
        <w:keepNext w:val="0"/>
        <w:keepLines w:val="0"/>
        <w:pageBreakBefore w:val="0"/>
        <w:numPr>
          <w:ilvl w:val="0"/>
          <w:numId w:val="1"/>
        </w:numPr>
        <w:tabs>
          <w:tab w:val="left" w:pos="0"/>
        </w:tabs>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习近平外交思想研究</w:t>
      </w:r>
    </w:p>
    <w:p w14:paraId="0E74FDA3">
      <w:pPr>
        <w:keepNext w:val="0"/>
        <w:keepLines w:val="0"/>
        <w:pageBreakBefore w:val="0"/>
        <w:numPr>
          <w:ilvl w:val="0"/>
          <w:numId w:val="1"/>
        </w:numPr>
        <w:tabs>
          <w:tab w:val="left" w:pos="0"/>
        </w:tabs>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习近平文化思想研究</w:t>
      </w:r>
    </w:p>
    <w:p w14:paraId="7F300D71">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习近平党建思想研究</w:t>
      </w:r>
    </w:p>
    <w:p w14:paraId="63BFB4D4">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习近平总书记关于教育的重要论述研究</w:t>
      </w:r>
    </w:p>
    <w:p w14:paraId="55C4E7BC">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pacing w:val="-11"/>
          <w:sz w:val="32"/>
          <w:szCs w:val="32"/>
        </w:rPr>
      </w:pPr>
      <w:r>
        <w:rPr>
          <w:rFonts w:hint="eastAsia" w:ascii="仿宋_GB2312" w:hAnsi="仿宋_GB2312" w:eastAsia="仿宋_GB2312" w:cs="仿宋_GB2312"/>
          <w:color w:val="000000"/>
          <w:spacing w:val="-17"/>
          <w:sz w:val="32"/>
          <w:szCs w:val="32"/>
        </w:rPr>
        <w:t>习近平总书记在福建工作期间开创的重要理念和重大实践研究</w:t>
      </w:r>
    </w:p>
    <w:p w14:paraId="363AEA04">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pacing w:val="-17"/>
          <w:sz w:val="32"/>
          <w:szCs w:val="32"/>
        </w:rPr>
      </w:pPr>
      <w:r>
        <w:rPr>
          <w:rFonts w:hint="eastAsia" w:ascii="仿宋_GB2312" w:hAnsi="仿宋_GB2312" w:eastAsia="仿宋_GB2312" w:cs="仿宋_GB2312"/>
          <w:color w:val="000000"/>
          <w:spacing w:val="-17"/>
          <w:sz w:val="32"/>
          <w:szCs w:val="32"/>
        </w:rPr>
        <w:t>党的二十届</w:t>
      </w:r>
      <w:r>
        <w:rPr>
          <w:rFonts w:hint="eastAsia" w:ascii="仿宋_GB2312" w:hAnsi="仿宋_GB2312" w:eastAsia="仿宋_GB2312" w:cs="仿宋_GB2312"/>
          <w:color w:val="000000"/>
          <w:spacing w:val="-17"/>
          <w:sz w:val="32"/>
          <w:szCs w:val="32"/>
          <w:lang w:eastAsia="zh-CN"/>
        </w:rPr>
        <w:t>五</w:t>
      </w:r>
      <w:r>
        <w:rPr>
          <w:rFonts w:hint="eastAsia" w:ascii="仿宋_GB2312" w:hAnsi="仿宋_GB2312" w:eastAsia="仿宋_GB2312" w:cs="仿宋_GB2312"/>
          <w:color w:val="000000"/>
          <w:spacing w:val="-17"/>
          <w:sz w:val="32"/>
          <w:szCs w:val="32"/>
        </w:rPr>
        <w:t>中全会精神研究</w:t>
      </w:r>
    </w:p>
    <w:p w14:paraId="25E074EF">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17"/>
          <w:sz w:val="32"/>
          <w:szCs w:val="32"/>
        </w:rPr>
        <w:t>以党的创新理论引领构建中国哲学社会科学自主知识体系研究</w:t>
      </w:r>
    </w:p>
    <w:p w14:paraId="6B08BC1E">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马克思主义基本原理的当代阐释研究</w:t>
      </w:r>
    </w:p>
    <w:p w14:paraId="56E6D8EF">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马克思主义中国化时代化的基本问题和前沿问题研究</w:t>
      </w:r>
    </w:p>
    <w:p w14:paraId="266F3702">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default" w:ascii="Times New Roman" w:hAnsi="Times New Roman" w:eastAsia="仿宋_GB2312"/>
          <w:color w:val="000000"/>
          <w:sz w:val="32"/>
          <w:szCs w:val="32"/>
          <w:lang w:val="en-US" w:eastAsia="zh-CN"/>
        </w:rPr>
      </w:pPr>
      <w:r>
        <w:rPr>
          <w:rFonts w:hint="default" w:ascii="Times New Roman" w:hAnsi="Times New Roman" w:eastAsia="仿宋_GB2312"/>
          <w:color w:val="000000"/>
          <w:sz w:val="32"/>
          <w:szCs w:val="32"/>
          <w:lang w:val="en-US" w:eastAsia="zh-CN"/>
        </w:rPr>
        <w:t>中国特色社会主义理论体系发展历程研究</w:t>
      </w:r>
    </w:p>
    <w:p w14:paraId="5DA6E68D">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default" w:ascii="Times New Roman" w:hAnsi="Times New Roman" w:eastAsia="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中国式现代化的重大理论与实践问题研究</w:t>
      </w:r>
    </w:p>
    <w:p w14:paraId="3E7885F8">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default" w:ascii="Times New Roman" w:hAnsi="Times New Roman" w:eastAsia="仿宋_GB2312"/>
          <w:color w:val="000000"/>
          <w:sz w:val="32"/>
          <w:szCs w:val="32"/>
          <w:lang w:val="en-US" w:eastAsia="zh-CN"/>
        </w:rPr>
      </w:pPr>
      <w:r>
        <w:rPr>
          <w:rFonts w:hint="eastAsia" w:ascii="Times New Roman" w:hAnsi="Times New Roman" w:eastAsia="仿宋_GB2312"/>
          <w:color w:val="000000"/>
          <w:sz w:val="32"/>
          <w:szCs w:val="32"/>
          <w:lang w:val="en-US" w:eastAsia="zh-CN"/>
        </w:rPr>
        <w:t>“</w:t>
      </w:r>
      <w:r>
        <w:rPr>
          <w:rFonts w:hint="default" w:ascii="Times New Roman" w:hAnsi="Times New Roman" w:eastAsia="仿宋_GB2312"/>
          <w:color w:val="000000"/>
          <w:sz w:val="32"/>
          <w:szCs w:val="32"/>
          <w:lang w:val="en-US" w:eastAsia="zh-CN"/>
        </w:rPr>
        <w:t>十五五</w:t>
      </w:r>
      <w:r>
        <w:rPr>
          <w:rFonts w:hint="eastAsia" w:ascii="Times New Roman" w:hAnsi="Times New Roman" w:eastAsia="仿宋_GB2312"/>
          <w:color w:val="000000"/>
          <w:sz w:val="32"/>
          <w:szCs w:val="32"/>
          <w:lang w:val="en-US" w:eastAsia="zh-CN"/>
        </w:rPr>
        <w:t>”</w:t>
      </w:r>
      <w:r>
        <w:rPr>
          <w:rFonts w:hint="default" w:ascii="Times New Roman" w:hAnsi="Times New Roman" w:eastAsia="仿宋_GB2312"/>
          <w:color w:val="000000"/>
          <w:sz w:val="32"/>
          <w:szCs w:val="32"/>
          <w:lang w:val="en-US" w:eastAsia="zh-CN"/>
        </w:rPr>
        <w:t>时期经济社会发展重大战略任务研究</w:t>
      </w:r>
    </w:p>
    <w:p w14:paraId="69E24B6D">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default" w:ascii="Times New Roman" w:hAnsi="Times New Roman" w:eastAsia="仿宋_GB2312"/>
          <w:color w:val="000000"/>
          <w:sz w:val="32"/>
          <w:szCs w:val="32"/>
          <w:lang w:val="en-US" w:eastAsia="zh-CN"/>
        </w:rPr>
      </w:pPr>
      <w:r>
        <w:rPr>
          <w:rFonts w:hint="default" w:ascii="Times New Roman" w:hAnsi="Times New Roman" w:eastAsia="仿宋_GB2312"/>
          <w:color w:val="000000"/>
          <w:sz w:val="32"/>
          <w:szCs w:val="32"/>
          <w:lang w:val="en-US" w:eastAsia="zh-CN"/>
        </w:rPr>
        <w:t>中国共产党历史上重要会议、重大事件、重要人物的史料收集整理与研究</w:t>
      </w:r>
    </w:p>
    <w:p w14:paraId="2A546FA3">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树立和践行正确政绩观研究</w:t>
      </w:r>
    </w:p>
    <w:p w14:paraId="754FB86C">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科技创新和产业创新融合研究</w:t>
      </w:r>
    </w:p>
    <w:p w14:paraId="627956D8">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绿色贸易</w:t>
      </w:r>
      <w:r>
        <w:rPr>
          <w:rFonts w:hint="eastAsia" w:ascii="仿宋_GB2312" w:hAnsi="仿宋_GB2312" w:eastAsia="仿宋_GB2312" w:cs="仿宋_GB2312"/>
          <w:color w:val="000000"/>
          <w:sz w:val="32"/>
          <w:szCs w:val="32"/>
        </w:rPr>
        <w:t>研究</w:t>
      </w:r>
    </w:p>
    <w:p w14:paraId="3011450E">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国家治理体系和治理能力现代化</w:t>
      </w:r>
      <w:r>
        <w:rPr>
          <w:rFonts w:hint="eastAsia" w:ascii="仿宋_GB2312" w:hAnsi="仿宋_GB2312" w:eastAsia="仿宋_GB2312" w:cs="仿宋_GB2312"/>
          <w:color w:val="000000"/>
          <w:sz w:val="32"/>
          <w:szCs w:val="32"/>
          <w:lang w:val="en-US" w:eastAsia="zh-CN"/>
        </w:rPr>
        <w:t>研究</w:t>
      </w:r>
    </w:p>
    <w:p w14:paraId="176C2DF9">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总体国家安全观理论创新研究</w:t>
      </w:r>
    </w:p>
    <w:p w14:paraId="4B609EAD">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中国式现代化文化形态研究</w:t>
      </w:r>
    </w:p>
    <w:p w14:paraId="09B1DC08">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数智时代法治体系建设与制度创新研究</w:t>
      </w:r>
    </w:p>
    <w:p w14:paraId="663C3F15">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人工智能与社会治理研究</w:t>
      </w:r>
    </w:p>
    <w:p w14:paraId="67F77059">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教育科技人才一体统筹推进与教育强国建设研究</w:t>
      </w:r>
    </w:p>
    <w:p w14:paraId="1F207BD3">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建设健康中国</w:t>
      </w:r>
      <w:r>
        <w:rPr>
          <w:rFonts w:hint="eastAsia" w:ascii="仿宋_GB2312" w:hAnsi="仿宋_GB2312" w:eastAsia="仿宋_GB2312" w:cs="仿宋_GB2312"/>
          <w:color w:val="000000"/>
          <w:sz w:val="32"/>
          <w:szCs w:val="32"/>
          <w:lang w:val="en-US" w:eastAsia="zh-CN"/>
        </w:rPr>
        <w:t>研究</w:t>
      </w:r>
    </w:p>
    <w:p w14:paraId="0C832455">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就业促进与社会保障研究</w:t>
      </w:r>
    </w:p>
    <w:p w14:paraId="2244A70F">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互联网条件下的青年研究</w:t>
      </w:r>
    </w:p>
    <w:p w14:paraId="0F285E2E">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中华文明的起源与发展</w:t>
      </w:r>
      <w:r>
        <w:rPr>
          <w:rFonts w:hint="eastAsia" w:ascii="仿宋_GB2312" w:hAnsi="仿宋_GB2312" w:eastAsia="仿宋_GB2312" w:cs="仿宋_GB2312"/>
          <w:color w:val="000000"/>
          <w:sz w:val="32"/>
          <w:szCs w:val="32"/>
          <w:lang w:val="en-US" w:eastAsia="zh-CN"/>
        </w:rPr>
        <w:t>研究</w:t>
      </w:r>
    </w:p>
    <w:p w14:paraId="6B04DEE5">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文明交流互鉴和人类文明新形态研究</w:t>
      </w:r>
    </w:p>
    <w:p w14:paraId="47FD2FF7">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新大众文艺研究</w:t>
      </w:r>
    </w:p>
    <w:p w14:paraId="0CB23D51">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铸牢中华民族共同体意识</w:t>
      </w:r>
      <w:r>
        <w:rPr>
          <w:rFonts w:hint="eastAsia" w:ascii="仿宋_GB2312" w:hAnsi="仿宋_GB2312" w:eastAsia="仿宋_GB2312" w:cs="仿宋_GB2312"/>
          <w:color w:val="000000"/>
          <w:sz w:val="32"/>
          <w:szCs w:val="32"/>
          <w:lang w:val="en-US" w:eastAsia="zh-CN"/>
        </w:rPr>
        <w:t>研究</w:t>
      </w:r>
    </w:p>
    <w:p w14:paraId="4CD27F2C">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文化遗产保护传承</w:t>
      </w:r>
      <w:r>
        <w:rPr>
          <w:rFonts w:hint="eastAsia" w:ascii="仿宋_GB2312" w:hAnsi="仿宋_GB2312" w:eastAsia="仿宋_GB2312" w:cs="仿宋_GB2312"/>
          <w:color w:val="000000"/>
          <w:sz w:val="32"/>
          <w:szCs w:val="32"/>
          <w:lang w:val="en-US" w:eastAsia="zh-CN"/>
        </w:rPr>
        <w:t>研究</w:t>
      </w:r>
    </w:p>
    <w:p w14:paraId="3F01E299">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中华优秀传统文化传承发展研究</w:t>
      </w:r>
    </w:p>
    <w:p w14:paraId="1B3E94C0">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语言文字与地方文化保护传承研究</w:t>
      </w:r>
    </w:p>
    <w:p w14:paraId="2E1E17F7">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全球格局与国际秩序演变</w:t>
      </w:r>
      <w:r>
        <w:rPr>
          <w:rFonts w:hint="eastAsia" w:ascii="仿宋_GB2312" w:hAnsi="仿宋_GB2312" w:eastAsia="仿宋_GB2312" w:cs="仿宋_GB2312"/>
          <w:color w:val="000000"/>
          <w:sz w:val="32"/>
          <w:szCs w:val="32"/>
          <w:lang w:val="en-US" w:eastAsia="zh-CN"/>
        </w:rPr>
        <w:t>研究</w:t>
      </w:r>
    </w:p>
    <w:p w14:paraId="3C273B68">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全人类共同价值与构建人类命运共同体研究</w:t>
      </w:r>
    </w:p>
    <w:p w14:paraId="005F71BE">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立德树人机制综合改革研究</w:t>
      </w:r>
    </w:p>
    <w:p w14:paraId="6CB42FE8">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auto"/>
          <w:sz w:val="32"/>
          <w:szCs w:val="32"/>
        </w:rPr>
      </w:pPr>
      <w:r>
        <w:rPr>
          <w:rFonts w:hint="default" w:ascii="Times New Roman" w:hAnsi="Times New Roman" w:eastAsia="仿宋_GB2312"/>
          <w:color w:val="auto"/>
          <w:sz w:val="32"/>
          <w:szCs w:val="32"/>
          <w:lang w:val="en-US" w:eastAsia="zh-CN"/>
        </w:rPr>
        <w:t>坚持思政课建设与党的创新理论武装同步推进研究</w:t>
      </w:r>
    </w:p>
    <w:p w14:paraId="7FCF1939">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大中小学思政课一体化课程实施和教材使用研究</w:t>
      </w:r>
    </w:p>
    <w:p w14:paraId="4EE5D902">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大中小学思政课实践教学一体化建设研究</w:t>
      </w:r>
    </w:p>
    <w:p w14:paraId="74689FEF">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两岸教育融合发展研究</w:t>
      </w:r>
    </w:p>
    <w:p w14:paraId="612A97F7">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南岛语族起源与扩散研究</w:t>
      </w:r>
    </w:p>
    <w:p w14:paraId="1E0EC85B">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福建传承弘扬红色文化研究</w:t>
      </w:r>
    </w:p>
    <w:p w14:paraId="2D81FB1A">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福建方言与地域文化研究</w:t>
      </w:r>
    </w:p>
    <w:p w14:paraId="4DC4CC9A">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福建海洋文化研究</w:t>
      </w:r>
    </w:p>
    <w:p w14:paraId="6D8FA673">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福建侨乡文化研究</w:t>
      </w:r>
    </w:p>
    <w:p w14:paraId="70D073A9">
      <w:pPr>
        <w:keepNext w:val="0"/>
        <w:keepLines w:val="0"/>
        <w:pageBreakBefore w:val="0"/>
        <w:kinsoku/>
        <w:wordWrap/>
        <w:overflowPunct/>
        <w:topLinePunct w:val="0"/>
        <w:autoSpaceDE/>
        <w:autoSpaceDN/>
        <w:bidi w:val="0"/>
        <w:adjustRightInd/>
        <w:snapToGrid/>
        <w:spacing w:line="600" w:lineRule="exact"/>
        <w:jc w:val="left"/>
        <w:textAlignment w:val="auto"/>
        <w:rPr>
          <w:rFonts w:ascii="仿宋_GB2312" w:hAnsi="仿宋_GB2312" w:eastAsia="仿宋_GB2312" w:cs="仿宋_GB2312"/>
          <w:color w:val="auto"/>
          <w:spacing w:val="0"/>
          <w:sz w:val="32"/>
          <w:szCs w:val="32"/>
          <w:highlight w:val="none"/>
        </w:rPr>
      </w:pPr>
      <w:r>
        <w:rPr>
          <w:rFonts w:hint="eastAsia" w:ascii="黑体" w:hAnsi="黑体" w:eastAsia="黑体" w:cs="黑体"/>
          <w:color w:val="auto"/>
          <w:spacing w:val="0"/>
          <w:sz w:val="32"/>
          <w:szCs w:val="32"/>
          <w:highlight w:val="none"/>
        </w:rPr>
        <w:t>二、</w:t>
      </w:r>
      <w:r>
        <w:rPr>
          <w:rFonts w:hint="eastAsia" w:ascii="黑体" w:hAnsi="黑体" w:eastAsia="黑体" w:cs="黑体"/>
          <w:bCs/>
          <w:color w:val="auto"/>
          <w:spacing w:val="0"/>
          <w:sz w:val="32"/>
          <w:szCs w:val="32"/>
          <w:highlight w:val="none"/>
        </w:rPr>
        <w:t>福建省中青年教师教育科研项目基础教育研究专项</w:t>
      </w:r>
    </w:p>
    <w:p w14:paraId="708BEAE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17"/>
          <w:w w:val="97"/>
          <w:sz w:val="32"/>
          <w:szCs w:val="32"/>
          <w:highlight w:val="none"/>
        </w:rPr>
      </w:pPr>
      <w:r>
        <w:rPr>
          <w:rFonts w:hint="eastAsia" w:ascii="楷体_GB2312" w:hAnsi="楷体_GB2312" w:eastAsia="楷体_GB2312" w:cs="楷体_GB2312"/>
          <w:b/>
          <w:bCs/>
          <w:color w:val="auto"/>
          <w:spacing w:val="0"/>
          <w:sz w:val="32"/>
          <w:szCs w:val="32"/>
          <w:highlight w:val="none"/>
          <w:lang w:eastAsia="zh-CN"/>
        </w:rPr>
        <w:t>（一）</w:t>
      </w:r>
      <w:r>
        <w:rPr>
          <w:rFonts w:hint="eastAsia" w:ascii="楷体_GB2312" w:hAnsi="楷体_GB2312" w:eastAsia="楷体_GB2312" w:cs="楷体_GB2312"/>
          <w:b/>
          <w:bCs/>
          <w:color w:val="auto"/>
          <w:spacing w:val="0"/>
          <w:sz w:val="32"/>
          <w:szCs w:val="32"/>
          <w:highlight w:val="none"/>
        </w:rPr>
        <w:t>中小学（含中职）德育、思政课研究</w:t>
      </w:r>
    </w:p>
    <w:p w14:paraId="4E4B54BF">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default"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习近平总书记关于未成年人思想道德建设的重要指示研究</w:t>
      </w:r>
    </w:p>
    <w:p w14:paraId="403107D6">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习近平总书记关于思政课建设的重要指示研究</w:t>
      </w:r>
    </w:p>
    <w:p w14:paraId="21B7F414">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习</w:t>
      </w:r>
      <w:r>
        <w:rPr>
          <w:rFonts w:hint="eastAsia" w:ascii="仿宋_GB2312" w:hAnsi="仿宋_GB2312" w:eastAsia="仿宋_GB2312" w:cs="仿宋_GB2312"/>
          <w:color w:val="000000"/>
          <w:spacing w:val="-17"/>
          <w:w w:val="100"/>
          <w:kern w:val="0"/>
          <w:sz w:val="32"/>
          <w:szCs w:val="32"/>
          <w:lang w:val="en-US" w:eastAsia="zh-CN" w:bidi="ar"/>
        </w:rPr>
        <w:t>近平新时代中国特色社会主义思想进教材、进课堂、进头脑研究</w:t>
      </w:r>
    </w:p>
    <w:p w14:paraId="7714419D">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kern w:val="2"/>
          <w:sz w:val="32"/>
          <w:szCs w:val="32"/>
          <w:highlight w:val="none"/>
          <w:lang w:val="en-US" w:eastAsia="zh-CN" w:bidi="ar"/>
        </w:rPr>
      </w:pPr>
      <w:r>
        <w:rPr>
          <w:rFonts w:hint="eastAsia" w:ascii="仿宋_GB2312" w:hAnsi="仿宋_GB2312" w:eastAsia="仿宋_GB2312" w:cs="仿宋_GB2312"/>
          <w:color w:val="auto"/>
          <w:spacing w:val="0"/>
          <w:w w:val="100"/>
          <w:kern w:val="2"/>
          <w:sz w:val="32"/>
          <w:szCs w:val="32"/>
          <w:highlight w:val="none"/>
          <w:lang w:val="en-US" w:eastAsia="zh-CN" w:bidi="ar"/>
        </w:rPr>
        <w:t>习近平总书记地方重大实践与重要论述进课程教材研究</w:t>
      </w:r>
    </w:p>
    <w:p w14:paraId="69F240FA">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中华优秀传统文化、革命文化、社会主义先进文化有机融入  课堂教学研究</w:t>
      </w:r>
    </w:p>
    <w:p w14:paraId="4E185C09">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新时代伟大变革成功案例融入学校思想政治教育研究</w:t>
      </w:r>
    </w:p>
    <w:p w14:paraId="539B1521">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铸牢中华民族共同体意识教育研究</w:t>
      </w:r>
    </w:p>
    <w:p w14:paraId="5100D61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新时代大中小学思政课一体化建设的实践探索与研究</w:t>
      </w:r>
    </w:p>
    <w:p w14:paraId="6995A414">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思政课堂与社会课堂有效融合研究</w:t>
      </w:r>
    </w:p>
    <w:p w14:paraId="768F37C8">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“行走的思政课”教学实践研究</w:t>
      </w:r>
    </w:p>
    <w:p w14:paraId="7173D892">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数智时代思政课教学改革创新研究</w:t>
      </w:r>
    </w:p>
    <w:p w14:paraId="527DF3FB">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eastAsia="zh-CN"/>
        </w:rPr>
        <w:t>“</w:t>
      </w:r>
      <w:r>
        <w:rPr>
          <w:rFonts w:hint="eastAsia" w:ascii="仿宋_GB2312" w:hAnsi="仿宋_GB2312" w:eastAsia="仿宋_GB2312" w:cs="仿宋_GB2312"/>
          <w:color w:val="auto"/>
          <w:spacing w:val="0"/>
          <w:w w:val="100"/>
          <w:sz w:val="32"/>
          <w:szCs w:val="32"/>
          <w:highlight w:val="none"/>
          <w:lang w:val="en-US" w:eastAsia="zh-CN"/>
        </w:rPr>
        <w:t>红色八闽行</w:t>
      </w:r>
      <w:r>
        <w:rPr>
          <w:rFonts w:hint="eastAsia" w:ascii="仿宋_GB2312" w:hAnsi="仿宋_GB2312" w:eastAsia="仿宋_GB2312" w:cs="仿宋_GB2312"/>
          <w:color w:val="auto"/>
          <w:spacing w:val="0"/>
          <w:w w:val="100"/>
          <w:sz w:val="32"/>
          <w:szCs w:val="32"/>
          <w:highlight w:val="none"/>
          <w:lang w:eastAsia="zh-CN"/>
        </w:rPr>
        <w:t>”</w:t>
      </w:r>
      <w:r>
        <w:rPr>
          <w:rFonts w:hint="eastAsia" w:ascii="仿宋_GB2312" w:hAnsi="仿宋_GB2312" w:eastAsia="仿宋_GB2312" w:cs="仿宋_GB2312"/>
          <w:color w:val="auto"/>
          <w:spacing w:val="0"/>
          <w:w w:val="100"/>
          <w:sz w:val="32"/>
          <w:szCs w:val="32"/>
          <w:highlight w:val="none"/>
          <w:lang w:val="en-US" w:eastAsia="zh-CN"/>
        </w:rPr>
        <w:t>中小学生红色研学实践教育研究</w:t>
      </w:r>
    </w:p>
    <w:p w14:paraId="65126F7E">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中小学德育课程体系构建研究</w:t>
      </w:r>
    </w:p>
    <w:p w14:paraId="700F5EE4">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中小学德育模式创新研究</w:t>
      </w:r>
    </w:p>
    <w:p w14:paraId="18F69E63">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中小学德育评价改革与实践研究</w:t>
      </w:r>
    </w:p>
    <w:p w14:paraId="2A6A7526">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rPr>
        <w:t>加强社会主义核心价值观教育研究</w:t>
      </w:r>
    </w:p>
    <w:p w14:paraId="556084DF">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i w:val="0"/>
          <w:iCs w:val="0"/>
          <w:caps w:val="0"/>
          <w:color w:val="auto"/>
          <w:spacing w:val="0"/>
          <w:w w:val="100"/>
          <w:sz w:val="32"/>
          <w:szCs w:val="32"/>
          <w:highlight w:val="none"/>
          <w:shd w:val="clear" w:color="auto" w:fill="auto"/>
        </w:rPr>
        <w:t>全员全过程全方位全领域育人</w:t>
      </w:r>
      <w:r>
        <w:rPr>
          <w:rFonts w:hint="eastAsia" w:ascii="仿宋_GB2312" w:hAnsi="仿宋_GB2312" w:eastAsia="仿宋_GB2312" w:cs="仿宋_GB2312"/>
          <w:color w:val="auto"/>
          <w:spacing w:val="0"/>
          <w:w w:val="100"/>
          <w:sz w:val="32"/>
          <w:szCs w:val="32"/>
          <w:highlight w:val="none"/>
          <w:lang w:val="en-US" w:eastAsia="zh-CN"/>
        </w:rPr>
        <w:t>研究</w:t>
      </w:r>
    </w:p>
    <w:p w14:paraId="41EC4799">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学校温暖集体行动研究</w:t>
      </w:r>
    </w:p>
    <w:p w14:paraId="5914844F">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“行见八闽”大思政课研学实践圈建设路径</w:t>
      </w:r>
      <w:r>
        <w:rPr>
          <w:rFonts w:hint="eastAsia" w:ascii="仿宋_GB2312" w:hAnsi="仿宋_GB2312" w:eastAsia="仿宋_GB2312" w:cs="仿宋_GB2312"/>
          <w:color w:val="auto"/>
          <w:spacing w:val="0"/>
          <w:w w:val="100"/>
          <w:sz w:val="32"/>
          <w:szCs w:val="32"/>
          <w:highlight w:val="none"/>
          <w:lang w:val="en-US" w:eastAsia="zh-CN"/>
        </w:rPr>
        <w:t>研究</w:t>
      </w:r>
    </w:p>
    <w:p w14:paraId="61D4F1E2">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学生心理健康监测预警系统研究</w:t>
      </w:r>
    </w:p>
    <w:p w14:paraId="76342F8F">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default" w:ascii="仿宋_GB2312" w:hAnsi="仿宋_GB2312" w:eastAsia="仿宋_GB2312" w:cs="仿宋_GB2312"/>
          <w:color w:val="auto"/>
          <w:spacing w:val="0"/>
          <w:w w:val="100"/>
          <w:sz w:val="32"/>
          <w:szCs w:val="32"/>
          <w:highlight w:val="none"/>
          <w:lang w:val="en-US"/>
        </w:rPr>
      </w:pPr>
      <w:r>
        <w:rPr>
          <w:rFonts w:hint="eastAsia" w:ascii="仿宋_GB2312" w:hAnsi="仿宋_GB2312" w:eastAsia="仿宋_GB2312" w:cs="仿宋_GB2312"/>
          <w:color w:val="auto"/>
          <w:spacing w:val="0"/>
          <w:w w:val="100"/>
          <w:sz w:val="32"/>
          <w:szCs w:val="32"/>
          <w:highlight w:val="none"/>
          <w:lang w:val="en-US" w:eastAsia="zh-CN"/>
        </w:rPr>
        <w:t>AI平台对学生心理健康状态进行分析干预研究</w:t>
      </w:r>
    </w:p>
    <w:p w14:paraId="0DAFDD2A">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中小学生常态化心理健康教育课程体系构建与实施研究</w:t>
      </w:r>
    </w:p>
    <w:p w14:paraId="4291CE37">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eastAsia="zh-CN"/>
        </w:rPr>
        <w:t>“教联体”</w:t>
      </w:r>
      <w:r>
        <w:rPr>
          <w:rFonts w:hint="eastAsia" w:ascii="仿宋_GB2312" w:hAnsi="仿宋_GB2312" w:eastAsia="仿宋_GB2312" w:cs="仿宋_GB2312"/>
          <w:color w:val="auto"/>
          <w:spacing w:val="0"/>
          <w:w w:val="100"/>
          <w:sz w:val="32"/>
          <w:szCs w:val="32"/>
          <w:highlight w:val="none"/>
          <w:lang w:val="en-US" w:eastAsia="zh-CN"/>
        </w:rPr>
        <w:t>建设视域下的校家社协同育人研究</w:t>
      </w:r>
    </w:p>
    <w:p w14:paraId="47DCAECE">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福建省乡村留守儿童家庭教育帮扶策略研究</w:t>
      </w:r>
    </w:p>
    <w:p w14:paraId="7BB705D1">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eastAsia="zh-CN"/>
        </w:rPr>
        <w:t>中小学生劳动教育组织和实施研究</w:t>
      </w:r>
    </w:p>
    <w:p w14:paraId="5FE7E3A6">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地域特色中小学劳动教育资源开发与应用研究</w:t>
      </w:r>
    </w:p>
    <w:p w14:paraId="5210B7CE">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产教融合背景下中职学生职业素养与工匠精神培育研究</w:t>
      </w:r>
    </w:p>
    <w:p w14:paraId="09FBA713">
      <w:pPr>
        <w:keepNext w:val="0"/>
        <w:keepLines w:val="0"/>
        <w:pageBreakBefore w:val="0"/>
        <w:numPr>
          <w:ilvl w:val="0"/>
          <w:numId w:val="0"/>
        </w:numPr>
        <w:kinsoku/>
        <w:wordWrap/>
        <w:overflowPunct/>
        <w:topLinePunct w:val="0"/>
        <w:autoSpaceDE/>
        <w:autoSpaceDN/>
        <w:bidi w:val="0"/>
        <w:adjustRightInd/>
        <w:snapToGrid/>
        <w:spacing w:line="600" w:lineRule="exact"/>
        <w:ind w:left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楷体_GB2312" w:hAnsi="楷体_GB2312" w:eastAsia="楷体_GB2312" w:cs="楷体_GB2312"/>
          <w:b/>
          <w:bCs/>
          <w:color w:val="auto"/>
          <w:spacing w:val="0"/>
          <w:w w:val="100"/>
          <w:sz w:val="32"/>
          <w:szCs w:val="32"/>
          <w:highlight w:val="none"/>
          <w:lang w:eastAsia="zh-CN"/>
        </w:rPr>
        <w:t>（二）</w:t>
      </w:r>
      <w:r>
        <w:rPr>
          <w:rFonts w:hint="eastAsia" w:ascii="楷体_GB2312" w:hAnsi="楷体_GB2312" w:eastAsia="楷体_GB2312" w:cs="楷体_GB2312"/>
          <w:b/>
          <w:bCs/>
          <w:color w:val="auto"/>
          <w:spacing w:val="0"/>
          <w:w w:val="100"/>
          <w:sz w:val="32"/>
          <w:szCs w:val="32"/>
          <w:highlight w:val="none"/>
        </w:rPr>
        <w:t>高质量基础教育体系建设研究</w:t>
      </w:r>
    </w:p>
    <w:p w14:paraId="7509211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适应人口变化的教育资源预警与优配置机制研究</w:t>
      </w:r>
    </w:p>
    <w:p w14:paraId="601F0FA6">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中小学阳光招生专项行动促进教育公平实现研究</w:t>
      </w:r>
    </w:p>
    <w:p w14:paraId="34FC1A5A">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中小学总校制办学管理体制改革牵引集团化办学研究</w:t>
      </w:r>
    </w:p>
    <w:p w14:paraId="5EA77221">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default"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新时期完善学校治理制度提升办学治校能力水平研究</w:t>
      </w:r>
    </w:p>
    <w:p w14:paraId="267D6AFB">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提升基础教育治理能力和治理水平研究</w:t>
      </w:r>
    </w:p>
    <w:p w14:paraId="3E5C7B6A">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山海协作机制与优质资源下沉机制研究</w:t>
      </w:r>
    </w:p>
    <w:p w14:paraId="499B98D7">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基础教育扩优提质背景下县域教育优质均衡推进策略研究</w:t>
      </w:r>
    </w:p>
    <w:p w14:paraId="1A9BA374">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普通高中优质特色发展与县中振兴行动研究</w:t>
      </w:r>
    </w:p>
    <w:p w14:paraId="27D219A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普通高中办学等级评价体系研究</w:t>
      </w:r>
    </w:p>
    <w:p w14:paraId="6A6FB649">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普通高中优质化、多样化、特色化办学研究</w:t>
      </w:r>
    </w:p>
    <w:p w14:paraId="53738957">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市域普通高中教育教学质量增值评价研究</w:t>
      </w:r>
    </w:p>
    <w:p w14:paraId="0627EF1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普通高中质量监测工作制度研究</w:t>
      </w:r>
    </w:p>
    <w:p w14:paraId="780520BD">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“五育融合”课程体系构建与实施路径研究</w:t>
      </w:r>
    </w:p>
    <w:p w14:paraId="42D57D84">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eastAsia="zh-CN"/>
        </w:rPr>
        <w:t>中小学</w:t>
      </w:r>
      <w:r>
        <w:rPr>
          <w:rFonts w:hint="eastAsia" w:ascii="仿宋_GB2312" w:hAnsi="仿宋_GB2312" w:eastAsia="仿宋_GB2312" w:cs="仿宋_GB2312"/>
          <w:color w:val="auto"/>
          <w:spacing w:val="0"/>
          <w:w w:val="100"/>
          <w:sz w:val="32"/>
          <w:szCs w:val="32"/>
          <w:highlight w:val="none"/>
        </w:rPr>
        <w:t>课程方案和课程标准（202</w:t>
      </w:r>
      <w:r>
        <w:rPr>
          <w:rFonts w:hint="eastAsia" w:ascii="仿宋_GB2312" w:hAnsi="仿宋_GB2312" w:eastAsia="仿宋_GB2312" w:cs="仿宋_GB2312"/>
          <w:color w:val="auto"/>
          <w:spacing w:val="0"/>
          <w:w w:val="100"/>
          <w:sz w:val="32"/>
          <w:szCs w:val="32"/>
          <w:highlight w:val="none"/>
          <w:lang w:val="en-US" w:eastAsia="zh-CN"/>
        </w:rPr>
        <w:t>5年修订</w:t>
      </w:r>
      <w:r>
        <w:rPr>
          <w:rFonts w:hint="eastAsia" w:ascii="仿宋_GB2312" w:hAnsi="仿宋_GB2312" w:eastAsia="仿宋_GB2312" w:cs="仿宋_GB2312"/>
          <w:color w:val="auto"/>
          <w:spacing w:val="0"/>
          <w:w w:val="100"/>
          <w:sz w:val="32"/>
          <w:szCs w:val="32"/>
          <w:highlight w:val="none"/>
        </w:rPr>
        <w:t>版）与基础教育学科课程教学改革研究</w:t>
      </w:r>
    </w:p>
    <w:p w14:paraId="01FDEB38">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中小学“健康第一”教育理念落实机制研究</w:t>
      </w:r>
    </w:p>
    <w:p w14:paraId="2EEE43E6">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中学拔尖创新后备人才贯通培养体系研究</w:t>
      </w:r>
    </w:p>
    <w:p w14:paraId="1AB10237">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新时代中小学科技教育体系构建研究</w:t>
      </w:r>
    </w:p>
    <w:p w14:paraId="30F4C82F">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学校美育价值功能研究</w:t>
      </w:r>
    </w:p>
    <w:p w14:paraId="3680CF58">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数智技术赋能基础教育教学深度变革的实践研究</w:t>
      </w:r>
    </w:p>
    <w:p w14:paraId="12B42C99">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“双减”背景下课堂教学提质增效研究</w:t>
      </w:r>
    </w:p>
    <w:p w14:paraId="77FA5758">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义务教育阶段小班化教学研究</w:t>
      </w:r>
    </w:p>
    <w:p w14:paraId="0C9FD102">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eastAsia="zh-CN"/>
        </w:rPr>
      </w:pPr>
      <w:r>
        <w:rPr>
          <w:rFonts w:hint="eastAsia" w:ascii="仿宋_GB2312" w:hAnsi="仿宋_GB2312" w:eastAsia="仿宋_GB2312" w:cs="仿宋_GB2312"/>
          <w:color w:val="auto"/>
          <w:spacing w:val="0"/>
          <w:w w:val="100"/>
          <w:sz w:val="32"/>
          <w:szCs w:val="32"/>
          <w:highlight w:val="none"/>
        </w:rPr>
        <w:t>学前教育</w:t>
      </w:r>
      <w:r>
        <w:rPr>
          <w:rFonts w:hint="eastAsia" w:ascii="仿宋_GB2312" w:hAnsi="仿宋_GB2312" w:eastAsia="仿宋_GB2312" w:cs="仿宋_GB2312"/>
          <w:color w:val="auto"/>
          <w:spacing w:val="0"/>
          <w:w w:val="100"/>
          <w:sz w:val="32"/>
          <w:szCs w:val="32"/>
          <w:highlight w:val="none"/>
          <w:lang w:val="en-US" w:eastAsia="zh-CN"/>
        </w:rPr>
        <w:t>优质普惠发展</w:t>
      </w:r>
      <w:r>
        <w:rPr>
          <w:rFonts w:hint="eastAsia" w:ascii="仿宋_GB2312" w:hAnsi="仿宋_GB2312" w:eastAsia="仿宋_GB2312" w:cs="仿宋_GB2312"/>
          <w:color w:val="auto"/>
          <w:spacing w:val="0"/>
          <w:w w:val="100"/>
          <w:sz w:val="32"/>
          <w:szCs w:val="32"/>
          <w:highlight w:val="none"/>
        </w:rPr>
        <w:t>研究</w:t>
      </w:r>
    </w:p>
    <w:p w14:paraId="1E1CC5DD">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特殊教育优质融合发展研究</w:t>
      </w:r>
    </w:p>
    <w:p w14:paraId="6FB63C3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职业教育中高本衔接培养研究</w:t>
      </w:r>
    </w:p>
    <w:p w14:paraId="09AEFCA6">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专门教育校本课程体系建设及教学研究</w:t>
      </w:r>
    </w:p>
    <w:p w14:paraId="3170A020">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新形势下推进教研提质增效促进教育教学质量提升研究</w:t>
      </w:r>
    </w:p>
    <w:p w14:paraId="5D5ED978">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中小学各学段学生衔接培养机制研究</w:t>
      </w:r>
    </w:p>
    <w:p w14:paraId="5BC5731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jc w:val="left"/>
        <w:textAlignment w:val="auto"/>
        <w:rPr>
          <w:rFonts w:hint="eastAsia" w:ascii="楷体_GB2312" w:hAnsi="楷体_GB2312" w:eastAsia="楷体_GB2312" w:cs="楷体_GB2312"/>
          <w:b/>
          <w:bCs/>
          <w:color w:val="auto"/>
          <w:spacing w:val="0"/>
          <w:w w:val="100"/>
          <w:sz w:val="32"/>
          <w:szCs w:val="32"/>
          <w:highlight w:val="none"/>
        </w:rPr>
      </w:pPr>
      <w:r>
        <w:rPr>
          <w:rFonts w:hint="eastAsia" w:ascii="楷体_GB2312" w:hAnsi="楷体_GB2312" w:eastAsia="楷体_GB2312" w:cs="楷体_GB2312"/>
          <w:b/>
          <w:bCs/>
          <w:color w:val="auto"/>
          <w:spacing w:val="0"/>
          <w:w w:val="100"/>
          <w:sz w:val="32"/>
          <w:szCs w:val="32"/>
          <w:highlight w:val="none"/>
          <w:lang w:eastAsia="zh-CN"/>
        </w:rPr>
        <w:t>（</w:t>
      </w:r>
      <w:r>
        <w:rPr>
          <w:rFonts w:hint="eastAsia" w:ascii="楷体_GB2312" w:hAnsi="楷体_GB2312" w:eastAsia="楷体_GB2312" w:cs="楷体_GB2312"/>
          <w:b/>
          <w:bCs/>
          <w:color w:val="auto"/>
          <w:spacing w:val="0"/>
          <w:w w:val="100"/>
          <w:sz w:val="32"/>
          <w:szCs w:val="32"/>
          <w:highlight w:val="none"/>
        </w:rPr>
        <w:t>三</w:t>
      </w:r>
      <w:r>
        <w:rPr>
          <w:rFonts w:hint="eastAsia" w:ascii="楷体_GB2312" w:hAnsi="楷体_GB2312" w:eastAsia="楷体_GB2312" w:cs="楷体_GB2312"/>
          <w:b/>
          <w:bCs/>
          <w:color w:val="auto"/>
          <w:spacing w:val="0"/>
          <w:w w:val="100"/>
          <w:sz w:val="32"/>
          <w:szCs w:val="32"/>
          <w:highlight w:val="none"/>
          <w:lang w:eastAsia="zh-CN"/>
        </w:rPr>
        <w:t>）</w:t>
      </w:r>
      <w:r>
        <w:rPr>
          <w:rFonts w:hint="eastAsia" w:ascii="楷体_GB2312" w:hAnsi="楷体_GB2312" w:eastAsia="楷体_GB2312" w:cs="楷体_GB2312"/>
          <w:b/>
          <w:bCs/>
          <w:color w:val="auto"/>
          <w:spacing w:val="0"/>
          <w:w w:val="100"/>
          <w:sz w:val="32"/>
          <w:szCs w:val="32"/>
          <w:highlight w:val="none"/>
        </w:rPr>
        <w:t>基础教育教师队伍建设研究</w:t>
      </w:r>
    </w:p>
    <w:p w14:paraId="23F8E39C">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以教育家精神引领</w:t>
      </w:r>
      <w:r>
        <w:rPr>
          <w:rFonts w:hint="eastAsia" w:ascii="仿宋_GB2312" w:hAnsi="仿宋_GB2312" w:eastAsia="仿宋_GB2312" w:cs="仿宋_GB2312"/>
          <w:color w:val="auto"/>
          <w:spacing w:val="0"/>
          <w:w w:val="100"/>
          <w:sz w:val="32"/>
          <w:szCs w:val="32"/>
          <w:highlight w:val="none"/>
          <w:lang w:val="en-US" w:eastAsia="zh-CN"/>
        </w:rPr>
        <w:t>基础教育</w:t>
      </w:r>
      <w:r>
        <w:rPr>
          <w:rFonts w:hint="eastAsia" w:ascii="仿宋_GB2312" w:hAnsi="仿宋_GB2312" w:eastAsia="仿宋_GB2312" w:cs="仿宋_GB2312"/>
          <w:color w:val="auto"/>
          <w:spacing w:val="0"/>
          <w:w w:val="100"/>
          <w:sz w:val="32"/>
          <w:szCs w:val="32"/>
          <w:highlight w:val="none"/>
        </w:rPr>
        <w:t>高素质教师队伍建设研究</w:t>
      </w:r>
    </w:p>
    <w:p w14:paraId="4FD0E9F1">
      <w:pPr>
        <w:numPr>
          <w:ilvl w:val="0"/>
          <w:numId w:val="2"/>
        </w:numPr>
        <w:spacing w:line="600" w:lineRule="exact"/>
        <w:ind w:left="0" w:leftChars="0" w:firstLine="0" w:firstLineChars="0"/>
        <w:jc w:val="left"/>
        <w:rPr>
          <w:rFonts w:hint="eastAsia" w:ascii="仿宋_GB2312" w:hAnsi="仿宋_GB2312" w:eastAsia="仿宋_GB2312" w:cs="仿宋_GB2312"/>
          <w:i w:val="0"/>
          <w:iCs w:val="0"/>
          <w:caps w:val="0"/>
          <w:color w:val="auto"/>
          <w:spacing w:val="0"/>
          <w:w w:val="100"/>
          <w:sz w:val="32"/>
          <w:szCs w:val="32"/>
          <w:highlight w:val="none"/>
          <w:shd w:val="clear" w:color="auto" w:fill="auto"/>
          <w:lang w:val="en-US" w:eastAsia="zh-CN"/>
        </w:rPr>
      </w:pPr>
      <w:r>
        <w:rPr>
          <w:rFonts w:hint="eastAsia" w:ascii="仿宋_GB2312" w:hAnsi="仿宋_GB2312" w:eastAsia="仿宋_GB2312" w:cs="仿宋_GB2312"/>
          <w:color w:val="auto"/>
          <w:spacing w:val="0"/>
          <w:w w:val="100"/>
          <w:sz w:val="32"/>
          <w:szCs w:val="32"/>
          <w:highlight w:val="none"/>
          <w:lang w:val="en-US" w:eastAsia="zh-CN"/>
        </w:rPr>
        <w:t>教师</w:t>
      </w:r>
      <w:r>
        <w:rPr>
          <w:rFonts w:hint="eastAsia" w:ascii="仿宋_GB2312" w:hAnsi="仿宋_GB2312" w:eastAsia="仿宋_GB2312" w:cs="仿宋_GB2312"/>
          <w:i w:val="0"/>
          <w:iCs w:val="0"/>
          <w:caps w:val="0"/>
          <w:color w:val="auto"/>
          <w:spacing w:val="0"/>
          <w:w w:val="100"/>
          <w:sz w:val="32"/>
          <w:szCs w:val="32"/>
          <w:highlight w:val="none"/>
          <w:shd w:val="clear" w:color="auto" w:fill="auto"/>
        </w:rPr>
        <w:t>智能素养与技能</w:t>
      </w:r>
      <w:r>
        <w:rPr>
          <w:rFonts w:hint="eastAsia" w:ascii="仿宋_GB2312" w:hAnsi="仿宋_GB2312" w:eastAsia="仿宋_GB2312" w:cs="仿宋_GB2312"/>
          <w:i w:val="0"/>
          <w:iCs w:val="0"/>
          <w:caps w:val="0"/>
          <w:color w:val="auto"/>
          <w:spacing w:val="0"/>
          <w:w w:val="100"/>
          <w:sz w:val="32"/>
          <w:szCs w:val="32"/>
          <w:highlight w:val="none"/>
          <w:shd w:val="clear" w:color="auto" w:fill="auto"/>
          <w:lang w:val="en-US" w:eastAsia="zh-CN"/>
        </w:rPr>
        <w:t>提升研究</w:t>
      </w:r>
    </w:p>
    <w:p w14:paraId="65F7BE0A">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教师教育职前职后一体化培养</w:t>
      </w:r>
      <w:r>
        <w:rPr>
          <w:rFonts w:hint="eastAsia" w:ascii="仿宋_GB2312" w:hAnsi="仿宋_GB2312" w:eastAsia="仿宋_GB2312" w:cs="仿宋_GB2312"/>
          <w:color w:val="auto"/>
          <w:spacing w:val="0"/>
          <w:w w:val="100"/>
          <w:sz w:val="32"/>
          <w:szCs w:val="32"/>
          <w:highlight w:val="none"/>
        </w:rPr>
        <w:t>研究</w:t>
      </w:r>
    </w:p>
    <w:p w14:paraId="28802AD2">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基础教育名优教师培育工程</w:t>
      </w:r>
      <w:r>
        <w:rPr>
          <w:rFonts w:hint="eastAsia" w:ascii="仿宋_GB2312" w:hAnsi="仿宋_GB2312" w:eastAsia="仿宋_GB2312" w:cs="仿宋_GB2312"/>
          <w:color w:val="auto"/>
          <w:spacing w:val="0"/>
          <w:w w:val="100"/>
          <w:sz w:val="32"/>
          <w:szCs w:val="32"/>
          <w:highlight w:val="none"/>
        </w:rPr>
        <w:t>研究</w:t>
      </w:r>
    </w:p>
    <w:p w14:paraId="20846119">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新时代基础教育教师培训质量提升研究</w:t>
      </w:r>
    </w:p>
    <w:p w14:paraId="6040CCFE">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师德师风建设长效机制研究</w:t>
      </w:r>
    </w:p>
    <w:p w14:paraId="6C0542C4">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黑体" w:hAnsi="黑体" w:eastAsia="黑体" w:cs="黑体"/>
          <w:color w:val="auto"/>
          <w:spacing w:val="0"/>
          <w:w w:val="100"/>
          <w:sz w:val="32"/>
          <w:szCs w:val="32"/>
          <w:highlight w:val="none"/>
        </w:rPr>
      </w:pPr>
      <w:r>
        <w:rPr>
          <w:rFonts w:hint="eastAsia" w:ascii="黑体" w:hAnsi="黑体" w:eastAsia="黑体" w:cs="黑体"/>
          <w:color w:val="auto"/>
          <w:spacing w:val="0"/>
          <w:w w:val="100"/>
          <w:sz w:val="32"/>
          <w:szCs w:val="32"/>
          <w:highlight w:val="none"/>
        </w:rPr>
        <w:t>三、福建省中青年教师教育科研项目世界语言与文化研究专项</w:t>
      </w:r>
    </w:p>
    <w:p w14:paraId="3D83486F">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弘扬</w:t>
      </w:r>
      <w:r>
        <w:rPr>
          <w:rFonts w:hint="eastAsia" w:ascii="仿宋_GB2312" w:hAnsi="仿宋_GB2312" w:eastAsia="仿宋_GB2312" w:cs="仿宋_GB2312"/>
          <w:color w:val="000000"/>
          <w:spacing w:val="-11"/>
          <w:w w:val="100"/>
          <w:kern w:val="0"/>
          <w:sz w:val="32"/>
          <w:szCs w:val="32"/>
          <w:lang w:val="en-US" w:eastAsia="zh-CN" w:bidi="ar"/>
        </w:rPr>
        <w:t xml:space="preserve">中华优秀语言文化增进台湾同胞中华民族共同体意识研究 </w:t>
      </w:r>
    </w:p>
    <w:p w14:paraId="0701FB89">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共</w:t>
      </w:r>
      <w:r>
        <w:rPr>
          <w:rFonts w:hint="eastAsia" w:ascii="仿宋_GB2312" w:hAnsi="仿宋_GB2312" w:eastAsia="仿宋_GB2312" w:cs="仿宋_GB2312"/>
          <w:color w:val="000000"/>
          <w:spacing w:val="-11"/>
          <w:w w:val="100"/>
          <w:kern w:val="0"/>
          <w:sz w:val="32"/>
          <w:szCs w:val="32"/>
          <w:lang w:val="en-US" w:eastAsia="zh-CN" w:bidi="ar"/>
        </w:rPr>
        <w:t>建“一带一路”倡议下的福建省区域多元外语教育政策研究</w:t>
      </w:r>
      <w:r>
        <w:rPr>
          <w:rFonts w:hint="eastAsia" w:ascii="仿宋_GB2312" w:hAnsi="仿宋_GB2312" w:eastAsia="仿宋_GB2312" w:cs="仿宋_GB2312"/>
          <w:color w:val="000000"/>
          <w:spacing w:val="0"/>
          <w:w w:val="100"/>
          <w:kern w:val="0"/>
          <w:sz w:val="32"/>
          <w:szCs w:val="32"/>
          <w:lang w:val="en-US" w:eastAsia="zh-CN" w:bidi="ar"/>
        </w:rPr>
        <w:t xml:space="preserve"> </w:t>
      </w:r>
    </w:p>
    <w:p w14:paraId="5E4D4196">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共</w:t>
      </w:r>
      <w:r>
        <w:rPr>
          <w:rFonts w:hint="eastAsia" w:ascii="仿宋_GB2312" w:hAnsi="仿宋_GB2312" w:eastAsia="仿宋_GB2312" w:cs="仿宋_GB2312"/>
          <w:color w:val="000000"/>
          <w:spacing w:val="-11"/>
          <w:w w:val="100"/>
          <w:kern w:val="0"/>
          <w:sz w:val="32"/>
          <w:szCs w:val="32"/>
          <w:lang w:val="en-US" w:eastAsia="zh-CN" w:bidi="ar"/>
        </w:rPr>
        <w:t>建“一带一路”倡议与“外语+”人才培养的创新路径研究</w:t>
      </w:r>
      <w:r>
        <w:rPr>
          <w:rFonts w:hint="eastAsia" w:ascii="仿宋_GB2312" w:hAnsi="仿宋_GB2312" w:eastAsia="仿宋_GB2312" w:cs="仿宋_GB2312"/>
          <w:color w:val="000000"/>
          <w:spacing w:val="0"/>
          <w:w w:val="100"/>
          <w:kern w:val="0"/>
          <w:sz w:val="32"/>
          <w:szCs w:val="32"/>
          <w:lang w:val="en-US" w:eastAsia="zh-CN" w:bidi="ar"/>
        </w:rPr>
        <w:t xml:space="preserve"> </w:t>
      </w:r>
    </w:p>
    <w:p w14:paraId="695B8661">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语言助推中国文化在东南亚的多样化传播研究 </w:t>
      </w:r>
    </w:p>
    <w:p w14:paraId="208E5073">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福建省地域文化、方言助推两岸融合发展研究 </w:t>
      </w:r>
    </w:p>
    <w:p w14:paraId="005CFACD">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侯官文化对近代闽籍翻译家群体的塑造研究 </w:t>
      </w:r>
    </w:p>
    <w:p w14:paraId="2D64014F">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中国式现代化中语言与文化自信建设研究 </w:t>
      </w:r>
    </w:p>
    <w:p w14:paraId="2ADE4933">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国际传播力与对外话语体系建设研究 </w:t>
      </w:r>
    </w:p>
    <w:p w14:paraId="4EDA2AAF">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传播中国与国际理解研究 </w:t>
      </w:r>
    </w:p>
    <w:p w14:paraId="2705F2F9">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具体区域国别中的语言与文化研究 </w:t>
      </w:r>
    </w:p>
    <w:p w14:paraId="6CCB3E3A">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新媒体推动语言与文化传播路径研究 </w:t>
      </w:r>
    </w:p>
    <w:p w14:paraId="75294415">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外语教育及教学研究 </w:t>
      </w:r>
    </w:p>
    <w:p w14:paraId="2C98EC9B">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外语教材与测试研究 </w:t>
      </w:r>
    </w:p>
    <w:p w14:paraId="2E06315B">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职业外语教育研究 </w:t>
      </w:r>
    </w:p>
    <w:p w14:paraId="553E6911">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其它相关研究</w:t>
      </w:r>
    </w:p>
    <w:p w14:paraId="747CCAB3">
      <w:pPr>
        <w:keepNext w:val="0"/>
        <w:keepLines w:val="0"/>
        <w:pageBreakBefore w:val="0"/>
        <w:numPr>
          <w:ilvl w:val="0"/>
          <w:numId w:val="0"/>
        </w:numPr>
        <w:kinsoku/>
        <w:wordWrap/>
        <w:overflowPunct/>
        <w:topLinePunct w:val="0"/>
        <w:autoSpaceDE/>
        <w:autoSpaceDN/>
        <w:bidi w:val="0"/>
        <w:adjustRightInd/>
        <w:snapToGrid/>
        <w:spacing w:line="600" w:lineRule="exact"/>
        <w:ind w:leftChars="0"/>
        <w:jc w:val="left"/>
        <w:textAlignment w:val="auto"/>
        <w:rPr>
          <w:rFonts w:hint="default" w:ascii="方正小标宋简体" w:hAnsi="方正小标宋简体" w:eastAsia="方正小标宋简体" w:cs="方正小标宋简体"/>
          <w:bCs/>
          <w:color w:val="auto"/>
          <w:spacing w:val="0"/>
          <w:sz w:val="32"/>
          <w:szCs w:val="32"/>
          <w:highlight w:val="none"/>
          <w:lang w:val="en-US" w:eastAsia="zh-CN"/>
        </w:rPr>
      </w:pPr>
      <w:r>
        <w:rPr>
          <w:rFonts w:hint="eastAsia" w:ascii="黑体" w:hAnsi="黑体" w:eastAsia="黑体" w:cs="黑体"/>
          <w:color w:val="auto"/>
          <w:spacing w:val="0"/>
          <w:sz w:val="32"/>
          <w:szCs w:val="32"/>
          <w:highlight w:val="none"/>
          <w:lang w:eastAsia="zh-CN"/>
        </w:rPr>
        <w:t>四</w:t>
      </w:r>
      <w:r>
        <w:rPr>
          <w:rFonts w:hint="eastAsia" w:ascii="黑体" w:hAnsi="黑体" w:eastAsia="黑体" w:cs="黑体"/>
          <w:color w:val="auto"/>
          <w:spacing w:val="0"/>
          <w:sz w:val="32"/>
          <w:szCs w:val="32"/>
          <w:highlight w:val="none"/>
        </w:rPr>
        <w:t>、福建省中青年教师教育科研项目</w:t>
      </w:r>
      <w:r>
        <w:rPr>
          <w:rFonts w:hint="eastAsia" w:ascii="黑体" w:hAnsi="黑体" w:eastAsia="黑体" w:cs="黑体"/>
          <w:color w:val="auto"/>
          <w:spacing w:val="0"/>
          <w:sz w:val="32"/>
          <w:szCs w:val="32"/>
          <w:highlight w:val="none"/>
          <w:lang w:val="en-US" w:eastAsia="zh-CN"/>
        </w:rPr>
        <w:t>高校辅导员专项</w:t>
      </w:r>
    </w:p>
    <w:p w14:paraId="41F8532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高校辅导员育人路径研究</w:t>
      </w:r>
    </w:p>
    <w:p w14:paraId="721D9032">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高校文化育人实践路径研究</w:t>
      </w:r>
    </w:p>
    <w:p w14:paraId="48DBA90D">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高校学生党建质量提升研究</w:t>
      </w:r>
    </w:p>
    <w:p w14:paraId="42AB916C">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“十五五”时期高校辅导员育人使命及实现路径研究</w:t>
      </w:r>
    </w:p>
    <w:p w14:paraId="13453718">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高校辅导员推动党的创新理论青春化传播的有效路径研究</w:t>
      </w:r>
    </w:p>
    <w:p w14:paraId="4148AFDE">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高校理论宣讲与党课、团课、班会协同推进有效路径研究</w:t>
      </w:r>
    </w:p>
    <w:p w14:paraId="1056C296">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高校思政引领力提升策略研究</w:t>
      </w:r>
    </w:p>
    <w:p w14:paraId="2447403F">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“健康第一”教育理念与温暖集体建设研究</w:t>
      </w:r>
    </w:p>
    <w:p w14:paraId="05E2B4EE">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新时代高校温暖集体的理论内涵与核心要义研究</w:t>
      </w:r>
    </w:p>
    <w:p w14:paraId="34E3C4F7">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辅导员视角下的温暖集体建设指数研究</w:t>
      </w:r>
    </w:p>
    <w:p w14:paraId="42609A29">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家校社协同视野下的大中小温暖集体建设一体化研究</w:t>
      </w:r>
    </w:p>
    <w:p w14:paraId="025B410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高校温暖集体建设的内在逻辑与长效机制研究</w:t>
      </w:r>
    </w:p>
    <w:p w14:paraId="25091C63">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w:t>
      </w:r>
      <w:r>
        <w:rPr>
          <w:rFonts w:hint="eastAsia" w:ascii="仿宋_GB2312" w:hAnsi="仿宋_GB2312" w:eastAsia="仿宋_GB2312" w:cs="仿宋_GB2312"/>
          <w:spacing w:val="-11"/>
          <w:sz w:val="32"/>
          <w:szCs w:val="32"/>
          <w:lang w:eastAsia="zh-CN"/>
        </w:rPr>
        <w:t>校辅导员在大中小学思想政治教育一体化中的作用发挥研究</w:t>
      </w:r>
    </w:p>
    <w:p w14:paraId="08B83E35">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“四全育人”视域下辅导员作用发挥与工作创新研究</w:t>
      </w:r>
    </w:p>
    <w:p w14:paraId="3A29242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11"/>
          <w:sz w:val="32"/>
          <w:szCs w:val="32"/>
          <w:lang w:eastAsia="zh-CN"/>
        </w:rPr>
        <w:t>社会主义核心价值观融入大学生日常教育管理的长效机制研究</w:t>
      </w:r>
    </w:p>
    <w:p w14:paraId="07C461BB">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新</w:t>
      </w:r>
      <w:r>
        <w:rPr>
          <w:rFonts w:hint="eastAsia" w:ascii="仿宋_GB2312" w:hAnsi="仿宋_GB2312" w:eastAsia="仿宋_GB2312" w:cs="仿宋_GB2312"/>
          <w:spacing w:val="-6"/>
          <w:sz w:val="32"/>
          <w:szCs w:val="32"/>
          <w:lang w:eastAsia="zh-CN"/>
        </w:rPr>
        <w:t>时代伟大变革成功案例融入大学生思想政治教育机制研究</w:t>
      </w:r>
    </w:p>
    <w:p w14:paraId="6995C367">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中国高校仪式教育体系构建研究</w:t>
      </w:r>
    </w:p>
    <w:p w14:paraId="60E7E23D">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红色资源在大学生思想政治教育中的育人功能研究</w:t>
      </w:r>
    </w:p>
    <w:p w14:paraId="28D09E62">
      <w:pPr>
        <w:numPr>
          <w:ilvl w:val="0"/>
          <w:numId w:val="4"/>
        </w:numPr>
        <w:ind w:left="-632" w:leftChars="0" w:firstLine="632" w:firstLineChars="0"/>
        <w:rPr>
          <w:rFonts w:hint="eastAsia" w:ascii="仿宋_GB2312" w:hAnsi="仿宋_GB2312" w:eastAsia="仿宋_GB2312" w:cs="仿宋_GB2312"/>
          <w:spacing w:val="-23"/>
          <w:sz w:val="32"/>
          <w:szCs w:val="32"/>
          <w:lang w:eastAsia="zh-CN"/>
        </w:rPr>
      </w:pPr>
      <w:r>
        <w:rPr>
          <w:rFonts w:hint="eastAsia" w:ascii="仿宋_GB2312" w:hAnsi="仿宋_GB2312" w:eastAsia="仿宋_GB2312" w:cs="仿宋_GB2312"/>
          <w:spacing w:val="-23"/>
          <w:sz w:val="32"/>
          <w:szCs w:val="32"/>
          <w:lang w:eastAsia="zh-CN"/>
        </w:rPr>
        <w:t>“</w:t>
      </w:r>
      <w:r>
        <w:rPr>
          <w:rFonts w:hint="eastAsia" w:ascii="仿宋_GB2312" w:hAnsi="仿宋_GB2312" w:eastAsia="仿宋_GB2312" w:cs="仿宋_GB2312"/>
          <w:color w:val="000000"/>
          <w:spacing w:val="-23"/>
          <w:w w:val="100"/>
          <w:kern w:val="0"/>
          <w:sz w:val="32"/>
          <w:szCs w:val="32"/>
          <w:lang w:val="en-US" w:eastAsia="zh-CN" w:bidi="ar"/>
        </w:rPr>
        <w:t>两个结合”视域下中华优秀传统文化融入日常思政教育路径研究</w:t>
      </w:r>
    </w:p>
    <w:p w14:paraId="03867ACB">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基于学生群体画像分析的高校精准思政研究</w:t>
      </w:r>
    </w:p>
    <w:p w14:paraId="15E887DC">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大学生科技教育和人文教育协同推进路径研究</w:t>
      </w:r>
    </w:p>
    <w:p w14:paraId="75BE5C45">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实践育人大课堂建设路径研究</w:t>
      </w:r>
    </w:p>
    <w:p w14:paraId="69FE396A">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铸</w:t>
      </w:r>
      <w:r>
        <w:rPr>
          <w:rFonts w:hint="eastAsia" w:ascii="仿宋_GB2312" w:hAnsi="仿宋_GB2312" w:eastAsia="仿宋_GB2312" w:cs="仿宋_GB2312"/>
          <w:spacing w:val="-6"/>
          <w:sz w:val="32"/>
          <w:szCs w:val="32"/>
          <w:lang w:eastAsia="zh-CN"/>
        </w:rPr>
        <w:t>牢中华民族共同体意识融入大学生思想政治教育路径研究</w:t>
      </w:r>
    </w:p>
    <w:p w14:paraId="7DA56418">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构建高校辅导员专业化发展体系研究</w:t>
      </w:r>
    </w:p>
    <w:p w14:paraId="7B52A9F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高校辅导员谈心谈话的精准化、结构化与实效性研究</w:t>
      </w:r>
    </w:p>
    <w:p w14:paraId="75E02466">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高校辅导员工作室建设有效路径研究</w:t>
      </w:r>
    </w:p>
    <w:p w14:paraId="0B981A64">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高校辅导员与思政课教师、专业课教师协同育人研究</w:t>
      </w:r>
    </w:p>
    <w:p w14:paraId="37AD81FB">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高校辅导员培训核心课程体系与能力认证机制研究</w:t>
      </w:r>
    </w:p>
    <w:p w14:paraId="4AE3BEF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辅导员新质思政能力提升研究</w:t>
      </w:r>
    </w:p>
    <w:p w14:paraId="69B0236A">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大学生网络社交圈层化特点与引导策略研究</w:t>
      </w:r>
    </w:p>
    <w:p w14:paraId="254C2F06">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大学生网络素养内容、载体及培育机制研究</w:t>
      </w:r>
    </w:p>
    <w:p w14:paraId="44D853BB">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大学生网络“亚文化”现象的教育引导研究</w:t>
      </w:r>
    </w:p>
    <w:p w14:paraId="65BB24C5">
      <w:pPr>
        <w:numPr>
          <w:ilvl w:val="0"/>
          <w:numId w:val="4"/>
        </w:numPr>
        <w:ind w:left="-632" w:leftChars="0" w:firstLine="632" w:firstLineChars="0"/>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lang w:eastAsia="zh-CN"/>
        </w:rPr>
        <w:t>高校场域网络正能量的叙事建构、群体认同与传播机制研究</w:t>
      </w:r>
    </w:p>
    <w:p w14:paraId="008B14FD">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大学生数字化精神交往新样态研究</w:t>
      </w:r>
    </w:p>
    <w:p w14:paraId="59358148">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大学生婚育观的影响因素及特点研究</w:t>
      </w:r>
    </w:p>
    <w:p w14:paraId="2AE9359F">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高校学生网络意见表达引导机制研究</w:t>
      </w:r>
    </w:p>
    <w:p w14:paraId="7B43E105">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高校思政类微信公众号的建设现状与发展策略研究</w:t>
      </w:r>
    </w:p>
    <w:p w14:paraId="1A45BAD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高校网络文化产品精准推送机制研究</w:t>
      </w:r>
    </w:p>
    <w:p w14:paraId="6E3208CF">
      <w:pPr>
        <w:numPr>
          <w:ilvl w:val="0"/>
          <w:numId w:val="4"/>
        </w:numPr>
        <w:ind w:left="-632" w:leftChars="0" w:firstLine="632" w:firstLineChars="0"/>
        <w:rPr>
          <w:rFonts w:hint="eastAsia" w:ascii="仿宋_GB2312" w:hAnsi="仿宋_GB2312" w:eastAsia="仿宋_GB2312" w:cs="仿宋_GB2312"/>
          <w:spacing w:val="-11"/>
          <w:sz w:val="32"/>
          <w:szCs w:val="32"/>
          <w:lang w:eastAsia="zh-CN"/>
        </w:rPr>
      </w:pPr>
      <w:r>
        <w:rPr>
          <w:rFonts w:hint="eastAsia" w:ascii="仿宋_GB2312" w:hAnsi="仿宋_GB2312" w:eastAsia="仿宋_GB2312" w:cs="仿宋_GB2312"/>
          <w:spacing w:val="-11"/>
          <w:sz w:val="32"/>
          <w:szCs w:val="32"/>
          <w:lang w:eastAsia="zh-CN"/>
        </w:rPr>
        <w:t>大学生“轻社交”“弱关系”现象的心理机制与教育引导研究</w:t>
      </w:r>
    </w:p>
    <w:p w14:paraId="0FF70C0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大学生心理问题多维度感知系统研究</w:t>
      </w:r>
    </w:p>
    <w:p w14:paraId="659123AF">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新时代高校学生心理健康教育的难点与对策研究</w:t>
      </w:r>
    </w:p>
    <w:p w14:paraId="7A24684C">
      <w:pPr>
        <w:numPr>
          <w:ilvl w:val="0"/>
          <w:numId w:val="4"/>
        </w:numPr>
        <w:ind w:left="-632" w:leftChars="0" w:firstLine="632" w:firstLineChars="0"/>
        <w:rPr>
          <w:rFonts w:hint="eastAsia" w:ascii="仿宋_GB2312" w:hAnsi="仿宋_GB2312" w:eastAsia="仿宋_GB2312" w:cs="仿宋_GB2312"/>
          <w:spacing w:val="-11"/>
          <w:sz w:val="32"/>
          <w:szCs w:val="32"/>
          <w:lang w:eastAsia="zh-CN"/>
        </w:rPr>
      </w:pPr>
      <w:r>
        <w:rPr>
          <w:rFonts w:hint="eastAsia" w:ascii="仿宋_GB2312" w:hAnsi="仿宋_GB2312" w:eastAsia="仿宋_GB2312" w:cs="仿宋_GB2312"/>
          <w:spacing w:val="-11"/>
          <w:sz w:val="32"/>
          <w:szCs w:val="32"/>
          <w:lang w:eastAsia="zh-CN"/>
        </w:rPr>
        <w:t>“五育并举”促进高校学生心理健康教育工作体系创新研究</w:t>
      </w:r>
    </w:p>
    <w:p w14:paraId="4BFDC2A0">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大学生积极心理品质培育的路径与机制研究</w:t>
      </w:r>
    </w:p>
    <w:p w14:paraId="0F1473F3">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大学生生命教育、挫折教育与责任教育融合机制研究</w:t>
      </w:r>
    </w:p>
    <w:p w14:paraId="4A8C4F1A">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大学生心理危机的特点与干预策略研究</w:t>
      </w:r>
    </w:p>
    <w:p w14:paraId="5B07A32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高校学生组织育人的路径和机制创新研究</w:t>
      </w:r>
    </w:p>
    <w:p w14:paraId="5D69B954">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高质量供给学生活动工作策略研究</w:t>
      </w:r>
    </w:p>
    <w:p w14:paraId="7FAFE75C">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研究生“导学思政”工作体系研究</w:t>
      </w:r>
    </w:p>
    <w:p w14:paraId="3BBF480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基于学科特色的研究生思政育人体系研究</w:t>
      </w:r>
    </w:p>
    <w:p w14:paraId="1C20F369">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高校全员促学生高质量就业机制研究</w:t>
      </w:r>
    </w:p>
    <w:p w14:paraId="2883CFB9">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民办高校大学生思想政治教育的现状和对策研究</w:t>
      </w:r>
    </w:p>
    <w:p w14:paraId="74E7C85D">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高职高专大学生思想政治教育的现状和对策研究</w:t>
      </w:r>
    </w:p>
    <w:p w14:paraId="57335E7F">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民办高校学生党建工作机制创新研究</w:t>
      </w:r>
    </w:p>
    <w:p w14:paraId="3DF70963">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高职高专学生党建工作机制创新研究</w:t>
      </w:r>
    </w:p>
    <w:p w14:paraId="462403A0">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高校海外留学生党员教育管理研究</w:t>
      </w:r>
    </w:p>
    <w:p w14:paraId="403250CD">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新时代高校学生党员作用发挥机制研究</w:t>
      </w:r>
    </w:p>
    <w:p w14:paraId="655D5D96">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高校“样板党支部”示范引领作用发挥研究</w:t>
      </w:r>
    </w:p>
    <w:p w14:paraId="0B025539">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“一站式”学生社区建设分学段分校区精准覆盖机制研究</w:t>
      </w:r>
    </w:p>
    <w:p w14:paraId="5EDD876F">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教育家精神在辅导员工作中的传承路径研究</w:t>
      </w:r>
    </w:p>
    <w:p w14:paraId="23C4058C">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辅导员职业倦怠预防及激励机制优化研究</w:t>
      </w:r>
    </w:p>
    <w:p w14:paraId="11864654">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大学生马克思主义宗教观教育模式创新路径研究</w:t>
      </w:r>
    </w:p>
    <w:p w14:paraId="7803496D">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少数民族学生教育管理工作研究</w:t>
      </w:r>
    </w:p>
    <w:p w14:paraId="2A6179E0">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数字赋能高校基层党建研究</w:t>
      </w:r>
    </w:p>
    <w:p w14:paraId="4517D15C">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高校党员教育学习资源库体系及课程建设研究</w:t>
      </w:r>
    </w:p>
    <w:p w14:paraId="22C6402A">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高校廉洁文化教育常态长效机制建设与实践路径研究</w:t>
      </w:r>
    </w:p>
    <w:p w14:paraId="04201A9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高校辅导员开展国家安全教育有效途径与策略研究</w:t>
      </w:r>
    </w:p>
    <w:p w14:paraId="7D1FA010">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AI新技术发展与应用对高校思想政治工作的影响研究</w:t>
      </w:r>
    </w:p>
    <w:p w14:paraId="630723F9">
      <w:pPr>
        <w:numPr>
          <w:ilvl w:val="0"/>
          <w:numId w:val="4"/>
        </w:numPr>
        <w:ind w:left="-632" w:leftChars="0" w:firstLine="632" w:firstLineChars="0"/>
        <w:rPr>
          <w:rFonts w:hint="eastAsia" w:ascii="仿宋_GB2312" w:hAnsi="仿宋_GB2312" w:eastAsia="仿宋_GB2312" w:cs="仿宋_GB2312"/>
          <w:spacing w:val="-11"/>
          <w:sz w:val="32"/>
          <w:szCs w:val="32"/>
          <w:lang w:eastAsia="zh-CN"/>
        </w:rPr>
      </w:pPr>
      <w:r>
        <w:rPr>
          <w:rFonts w:hint="eastAsia" w:ascii="仿宋_GB2312" w:hAnsi="仿宋_GB2312" w:eastAsia="仿宋_GB2312" w:cs="仿宋_GB2312"/>
          <w:sz w:val="32"/>
          <w:szCs w:val="32"/>
          <w:lang w:eastAsia="zh-CN"/>
        </w:rPr>
        <w:t>生</w:t>
      </w:r>
      <w:r>
        <w:rPr>
          <w:rFonts w:hint="eastAsia" w:ascii="仿宋_GB2312" w:hAnsi="仿宋_GB2312" w:eastAsia="仿宋_GB2312" w:cs="仿宋_GB2312"/>
          <w:spacing w:val="-11"/>
          <w:sz w:val="32"/>
          <w:szCs w:val="32"/>
          <w:lang w:eastAsia="zh-CN"/>
        </w:rPr>
        <w:t>成式人工智能对大学生价值观、学习观、就业观影响研究</w:t>
      </w:r>
    </w:p>
    <w:p w14:paraId="4222B646">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生</w:t>
      </w:r>
      <w:r>
        <w:rPr>
          <w:rFonts w:hint="eastAsia" w:ascii="仿宋_GB2312" w:hAnsi="仿宋_GB2312" w:eastAsia="仿宋_GB2312" w:cs="仿宋_GB2312"/>
          <w:color w:val="000000"/>
          <w:spacing w:val="-17"/>
          <w:w w:val="100"/>
          <w:kern w:val="0"/>
          <w:sz w:val="32"/>
          <w:szCs w:val="32"/>
          <w:lang w:val="en-US" w:eastAsia="zh-CN" w:bidi="ar"/>
        </w:rPr>
        <w:t>成式人工智能背景下大学生学术诚信与学术规范引导机制研究</w:t>
      </w:r>
    </w:p>
    <w:p w14:paraId="469558F6">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AI辅导员的意识形态风险及防范化解策略研究</w:t>
      </w:r>
    </w:p>
    <w:p w14:paraId="714E6E1F">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网络意识形态阵地创新管理研究</w:t>
      </w:r>
    </w:p>
    <w:p w14:paraId="768D9CE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涉校网络自媒体管理研究</w:t>
      </w:r>
    </w:p>
    <w:p w14:paraId="2D480CB0">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高校坚持和发展新时代“枫桥经验”体制机制研究</w:t>
      </w:r>
    </w:p>
    <w:p w14:paraId="426308DA">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经济社会热点问题对大学生思想认知影响的作用机制研究</w:t>
      </w:r>
    </w:p>
    <w:p w14:paraId="3F68C91E">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构建高校学生思想动态感知体系研究</w:t>
      </w:r>
    </w:p>
    <w:p w14:paraId="67DCD410">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网络社会思潮对高校学生的影响研究</w:t>
      </w:r>
    </w:p>
    <w:p w14:paraId="6EC90D74">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“05后”大学生价值取向、情感结构与成长支持研究</w:t>
      </w:r>
    </w:p>
    <w:p w14:paraId="4769608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高校学生利益诉求表达方式及引导策略研究</w:t>
      </w:r>
    </w:p>
    <w:p w14:paraId="0C985782">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意识形态领域风险发现力研判力处置力提升策略研究</w:t>
      </w:r>
    </w:p>
    <w:p w14:paraId="79AB5685">
      <w:pPr>
        <w:numPr>
          <w:ilvl w:val="0"/>
          <w:numId w:val="4"/>
        </w:numPr>
        <w:ind w:left="-632" w:leftChars="0" w:firstLine="632"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大学生情绪消费的现状、特征和教育引导研究</w:t>
      </w:r>
    </w:p>
    <w:p w14:paraId="7CDF4D3C">
      <w:pPr>
        <w:numPr>
          <w:ilvl w:val="0"/>
          <w:numId w:val="4"/>
        </w:numPr>
        <w:ind w:left="-632" w:leftChars="0" w:firstLine="632"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高校就业育人机制和实践路径研究</w:t>
      </w:r>
    </w:p>
    <w:p w14:paraId="131889C1">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高校就业指导融入思政教育机制与实践路径研究</w:t>
      </w:r>
    </w:p>
    <w:p w14:paraId="13A8869F">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高校毕业生就业工作监测评估指标体系研究</w:t>
      </w:r>
    </w:p>
    <w:p w14:paraId="2D28C7B0">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人工智能赋能高校毕业生就业工作实践路径研究</w:t>
      </w:r>
    </w:p>
    <w:p w14:paraId="0FCE7B08">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大学生职业素养、职业能力与就业能力培育研究</w:t>
      </w:r>
    </w:p>
    <w:p w14:paraId="0B2C947E">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高校毕业生就业监测数据核查机制与手段研究</w:t>
      </w:r>
    </w:p>
    <w:p w14:paraId="0F705B80">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职业发展与就业指导课程建设与改革研究</w:t>
      </w:r>
    </w:p>
    <w:p w14:paraId="34C5BB46">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高校辅导员就业指导工作标准与实践路径研究</w:t>
      </w:r>
    </w:p>
    <w:p w14:paraId="23A18B0E">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高校辅导员就业指导工作困难挑战与策略研究</w:t>
      </w:r>
    </w:p>
    <w:p w14:paraId="7276112B">
      <w:pPr>
        <w:numPr>
          <w:ilvl w:val="0"/>
          <w:numId w:val="4"/>
        </w:numPr>
        <w:ind w:left="-632" w:leftChars="0" w:firstLine="632" w:firstLineChars="0"/>
      </w:pPr>
      <w:r>
        <w:rPr>
          <w:rFonts w:hint="eastAsia" w:ascii="仿宋_GB2312" w:hAnsi="仿宋_GB2312" w:eastAsia="仿宋_GB2312" w:cs="仿宋_GB2312"/>
          <w:sz w:val="32"/>
          <w:szCs w:val="32"/>
          <w:lang w:val="en-US" w:eastAsia="zh-CN"/>
        </w:rPr>
        <w:t>高校毕业生困难群体就业精准帮扶工作机制研究</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EF7F8C"/>
    <w:multiLevelType w:val="singleLevel"/>
    <w:tmpl w:val="ADEF7F8C"/>
    <w:lvl w:ilvl="0" w:tentative="0">
      <w:start w:val="1"/>
      <w:numFmt w:val="decimal"/>
      <w:suff w:val="nothing"/>
      <w:lvlText w:val="%1."/>
      <w:lvlJc w:val="left"/>
      <w:pPr>
        <w:tabs>
          <w:tab w:val="left" w:pos="420"/>
        </w:tabs>
        <w:ind w:left="0" w:firstLine="0"/>
      </w:pPr>
      <w:rPr>
        <w:rFonts w:hint="default"/>
      </w:rPr>
    </w:lvl>
  </w:abstractNum>
  <w:abstractNum w:abstractNumId="1">
    <w:nsid w:val="F97EA23D"/>
    <w:multiLevelType w:val="singleLevel"/>
    <w:tmpl w:val="F97EA23D"/>
    <w:lvl w:ilvl="0" w:tentative="0">
      <w:start w:val="1"/>
      <w:numFmt w:val="decimal"/>
      <w:suff w:val="nothing"/>
      <w:lvlText w:val="%1．"/>
      <w:lvlJc w:val="left"/>
      <w:pPr>
        <w:tabs>
          <w:tab w:val="left" w:pos="0"/>
        </w:tabs>
        <w:ind w:left="-632" w:firstLine="632"/>
      </w:pPr>
      <w:rPr>
        <w:rFonts w:hint="default"/>
      </w:rPr>
    </w:lvl>
  </w:abstractNum>
  <w:abstractNum w:abstractNumId="2">
    <w:nsid w:val="FA8E56CB"/>
    <w:multiLevelType w:val="singleLevel"/>
    <w:tmpl w:val="FA8E56CB"/>
    <w:lvl w:ilvl="0" w:tentative="0">
      <w:start w:val="1"/>
      <w:numFmt w:val="decimal"/>
      <w:suff w:val="nothing"/>
      <w:lvlText w:val="%1."/>
      <w:lvlJc w:val="left"/>
      <w:pPr>
        <w:ind w:left="425" w:hanging="425"/>
      </w:pPr>
      <w:rPr>
        <w:rFonts w:hint="default" w:ascii="仿宋_GB2312" w:hAnsi="仿宋_GB2312" w:eastAsia="仿宋_GB2312" w:cs="仿宋_GB2312"/>
      </w:rPr>
    </w:lvl>
  </w:abstractNum>
  <w:abstractNum w:abstractNumId="3">
    <w:nsid w:val="2AFE9B8C"/>
    <w:multiLevelType w:val="singleLevel"/>
    <w:tmpl w:val="2AFE9B8C"/>
    <w:lvl w:ilvl="0" w:tentative="0">
      <w:start w:val="1"/>
      <w:numFmt w:val="decimal"/>
      <w:suff w:val="nothing"/>
      <w:lvlText w:val="%1．"/>
      <w:lvlJc w:val="left"/>
      <w:pPr>
        <w:tabs>
          <w:tab w:val="left" w:pos="0"/>
        </w:tabs>
        <w:ind w:left="-400" w:firstLine="40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0ZmEyYmIxNjAyMzM5ZGY0ZDg0NzcxZjRmOGNlYzkifQ=="/>
  </w:docVars>
  <w:rsids>
    <w:rsidRoot w:val="23055137"/>
    <w:rsid w:val="21820804"/>
    <w:rsid w:val="23055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color w:val="000000"/>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Body Text First Indent"/>
    <w:basedOn w:val="2"/>
    <w:next w:val="1"/>
    <w:qFormat/>
    <w:uiPriority w:val="0"/>
    <w:pPr>
      <w:ind w:firstLine="420" w:firstLineChars="100"/>
    </w:pPr>
    <w:rPr>
      <w:kern w:val="0"/>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2026-09-17T03:48:00Z</dcterms:created>
  <dc:creator>王旖旎</dc:creator>
  <cp:lastModifiedBy>王旖旎</cp:lastModifiedBy>
  <dcterms:modified xsi:type="dcterms:W3CDTF">2026-09-17T03:49:31Z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657C30D41F204DB8999F9B3ECD6D4D4F_11</vt:lpwstr>
  </property>
</Properties>
</file>